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AF68E0" w:rsidP="009E0016" w:rsidRDefault="00AF68E0" w14:paraId="0A0BFE27" w14:textId="6999D6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b/>
          <w:bCs/>
          <w:sz w:val="28"/>
          <w:szCs w:val="28"/>
          <w:rFonts w:ascii="Calibri" w:hAnsi="Calibri"/>
        </w:rPr>
        <w:drawing>
          <wp:inline distT="0" distB="0" distL="0" distR="0" wp14:anchorId="7B2710F3" wp14:editId="2A5DA7D3">
            <wp:extent cx="5724232" cy="707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704" cy="7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713" w:rsidP="009E0016" w:rsidRDefault="00BC3713" w14:paraId="4DD6CA4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lang w:val="en-GB"/>
        </w:rPr>
      </w:pPr>
    </w:p>
    <w:p w:rsidRPr="00FF1FA2" w:rsidR="007D7581" w:rsidP="009E0016" w:rsidRDefault="007D7581" w14:paraId="004A0EB6" w14:textId="31544C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rStyle w:val="normaltextrun"/>
          <w:b/>
          <w:bCs/>
          <w:sz w:val="28"/>
          <w:szCs w:val="28"/>
          <w:rFonts w:ascii="Calibri" w:hAnsi="Calibri"/>
        </w:rPr>
        <w:t xml:space="preserve">Formovanie našej digitálnej budúcnosti na prvých Dňoch otvorených dát EÚ</w:t>
      </w:r>
    </w:p>
    <w:p w:rsidR="007D7581" w:rsidP="009E0016" w:rsidRDefault="007D7581" w14:paraId="342317E9" w14:textId="0A18AC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6FA5AE2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41591D8A" w14:textId="3BB1F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Vôbec prvé Dni otvorených dát EÚ sa konali online od 23. do 25. novembra 2021.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 </w:t>
      </w:r>
      <w:r>
        <w:rPr>
          <w:rStyle w:val="normaltextrun"/>
          <w:b/>
          <w:bCs/>
          <w:sz w:val="22"/>
          <w:szCs w:val="22"/>
          <w:b/>
          <w:bCs/>
          <w:rFonts w:ascii="Calibri" w:hAnsi="Calibri"/>
        </w:rPr>
        <w:t xml:space="preserve">Súčasťou podujatia bola medzinárodná konferencia o otvorených dátach a vizualizácii dát</w:t>
      </w:r>
      <w:r>
        <w:rPr>
          <w:b/>
          <w:bCs/>
        </w:rPr>
        <w:t xml:space="preserve"> </w:t>
      </w:r>
      <w:hyperlink r:id="rId8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EU DataViz</w:t>
        </w:r>
      </w:hyperlink>
      <w:r>
        <w:rPr>
          <w:b/>
          <w:bCs/>
        </w:rPr>
        <w:t xml:space="preserve">, </w:t>
      </w:r>
      <w:r>
        <w:rPr>
          <w:b/>
          <w:bCs/>
          <w:rStyle w:val="normaltextrun"/>
          <w:b/>
          <w:bCs/>
          <w:sz w:val="22"/>
          <w:szCs w:val="22"/>
          <w:rFonts w:ascii="Calibri" w:hAnsi="Calibri"/>
        </w:rPr>
        <w:t xml:space="preserve">po ktorej nasledovalo finále každoročnej súťaže v oblasti otvorených dát</w:t>
      </w:r>
      <w:r>
        <w:rPr>
          <w:b/>
          <w:bCs/>
        </w:rPr>
        <w:t xml:space="preserve"> </w:t>
      </w:r>
      <w:hyperlink r:id="rId9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EU Datathon</w:t>
        </w:r>
      </w:hyperlink>
      <w:r>
        <w:rPr>
          <w:b/>
          <w:bCs/>
          <w:rStyle w:val="normaltextrun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7D7581" w:rsidP="009E0016" w:rsidRDefault="007D7581" w14:paraId="12CEFB7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="007D7581" w:rsidP="596DD439" w:rsidRDefault="007D7581" w14:paraId="2991F73F" w14:textId="728091C0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hyperlink r:id="R8e1ba1c8eea74597">
        <w:r>
          <w:rPr>
            <w:rStyle w:val="Hyperlink"/>
            <w:sz w:val="22"/>
            <w:szCs w:val="22"/>
            <w:rFonts w:ascii="Calibri" w:hAnsi="Calibri"/>
          </w:rPr>
          <w:t xml:space="preserve">Dni otvorených dát EÚ</w:t>
        </w:r>
      </w:hyperlink>
      <w: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boli zorganizované tak, aby oslovili všetky zainteresované strany v oblasti otvorených dát a používateľov dát s osobitným dôrazom na potreby verejného sektora EÚ.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Podujatie prilákalo viac ako 2 000 registrácií od nadšencov z oblasti dát, expertov na vizualizáciu dát a riešiteľov.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 prezentáciami vystúpili zástupcovia rôznych sektorov spoločnosti. Rečníci sa podelili o skúsenosti z verejnej správy, univerzít a medzinárodných organizácií, ako je Svetová banka.</w:t>
      </w:r>
    </w:p>
    <w:p w:rsidRPr="00B42A50" w:rsidR="007D7581" w:rsidP="009E0016" w:rsidRDefault="007D7581" w14:paraId="5FC6FEC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Pr="00B42A50" w:rsidR="007D7581" w:rsidP="009E0016" w:rsidRDefault="007D7581" w14:paraId="70282E44" w14:textId="2D46A5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Dni otvorených dát EÚ otvorila novovymenovaná generálna riaditeľka Úradu pre publikácie Hilde Hardemanová, ktorá predstavila niekoľkých renomovaných kľúčových rečníkov.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Predseda luxemburskej vlády Xavier Bettel zdôraznil, že pre luxemburskú vládu je digitálna transformácia prioritou. Európsky komisár pre rozpočet a administratívu Johannes Hahn predstavil kontext vízie Komisie v oblasti digitálnej transformácie EÚ do roku 2030.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Slovinský minister pre verejnú správu zastupujúci slovinské predsedníctvo Rady Európskej únie Boštjan Koritnik a zástupca generálneho tajomníka a výkonný riaditeľ Európskej komisie Pascal Leardini sa podelili o svoje inšpiratívne úvahy na tému budúcnosti otvorených dát.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</w:p>
    <w:p w:rsidR="00B42A50" w:rsidP="009E0016" w:rsidRDefault="00B42A50" w14:paraId="5083E615" w14:textId="0A6047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7A0AC446" w14:textId="54D610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9E0016" w:rsidR="007D7581" w:rsidP="009E0016" w:rsidRDefault="007D7581" w14:paraId="6F1E8560" w14:textId="46EBDF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EU DataViz 2021 (23. – 24. novembra 2021)</w:t>
      </w:r>
    </w:p>
    <w:p w:rsidRPr="009E0016" w:rsidR="00BC3713" w:rsidP="009E0016" w:rsidRDefault="00BC3713" w14:paraId="586C476E" w14:textId="4A8ECC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D35448" w:rsidR="007D7581" w:rsidP="009E0016" w:rsidRDefault="009E0016" w14:paraId="00EF943D" w14:textId="61E489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56704" behindDoc="0" locked="0" layoutInCell="1" allowOverlap="1" wp14:anchorId="1C85E089" wp14:editId="1E46071C">
            <wp:simplePos x="0" y="0"/>
            <wp:positionH relativeFrom="column">
              <wp:posOffset>3805693</wp:posOffset>
            </wp:positionH>
            <wp:positionV relativeFrom="paragraph">
              <wp:posOffset>8890</wp:posOffset>
            </wp:positionV>
            <wp:extent cx="1917700" cy="160591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sz w:val="22"/>
          <w:szCs w:val="22"/>
          <w:rFonts w:ascii="Calibri" w:hAnsi="Calibri"/>
        </w:rPr>
        <w:t xml:space="preserve">Dni otvorených dát EÚ sa začali konferenciou EU DataViz 2021 zameranou na výmenu skúseností a najlepších postupov týkajúcich sa otvorených dát a vizualizácie dát.</w:t>
      </w:r>
      <w:r>
        <w:rPr>
          <w:sz w:val="18"/>
          <w:szCs w:val="18"/>
          <w:rFonts w:ascii="Segoe UI" w:hAnsi="Segoe U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Prvý deň bol venovaný otvoreným dátam ako kľúčovému faktoru umožňujúcemu digitálnu transformáciu.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Na plenárnom zasadnutí predstavil Yvo Volman z Európskej komisie perspektívu EÚ v oblasti otvorených dát a podrobne opísal príslušné plány vybudovať jednotný európsky trh dát.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Osobitné zasadania sa venovali množstvu rôznych tém, za všetky možno spomenúť napríklad interoperabilitu, dostupnosť otvorených dát EÚ či vytváranie ekosystémov otvorených dát.</w:t>
      </w:r>
    </w:p>
    <w:p w:rsidR="00B42A50" w:rsidP="009E0016" w:rsidRDefault="00B42A50" w14:paraId="02168C0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:rsidR="007D7581" w:rsidP="009E0016" w:rsidRDefault="007D7581" w14:paraId="3607A8CA" w14:textId="38977E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Druhý deň bol zameraný na vizualizáciu dát.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Sixtine Bouygues z Európskej komisie zdôraznila výhody a výzvy spojené s vizualizáciou dát z pohľadu administratívy EÚ. Valérie Saintot z Európskej centrálnej banky sa zamerala na vizualizáciu dát ako vektor inovácií.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Počas tematických zasadnutí sa diskutovalo o vizualizácii dát ako nástroji objavovania nových poznatkov formou rozprávania o skúsenostiach. Hovorilo sa aj o medzinárodne úspešných projektoch vizualizácie dát a najnovších trendoch v tejto oblasti.</w:t>
      </w:r>
    </w:p>
    <w:p w:rsidR="00DD6D75" w:rsidP="009E0016" w:rsidRDefault="00DD6D75" w14:paraId="688F0045" w14:textId="130AF787">
      <w:pPr>
        <w:jc w:val="both"/>
        <w:rPr>
          <w:sz w:val="18"/>
          <w:szCs w:val="18"/>
          <w:rFonts w:ascii="Segoe UI" w:hAnsi="Segoe UI" w:eastAsia="Times New Roman" w:cs="Segoe UI"/>
        </w:rPr>
      </w:pPr>
      <w:r>
        <w:br w:type="page"/>
      </w:r>
    </w:p>
    <w:p w:rsidRPr="007D7581" w:rsidR="00DD6D75" w:rsidP="009E0016" w:rsidRDefault="00DD6D75" w14:paraId="26C6B9C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="007D7581" w:rsidP="009E0016" w:rsidRDefault="007D7581" w14:paraId="494698CB" w14:textId="222F3B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EU Datathon (25. novembra 2021)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DD6D75" w:rsidP="009E0016" w:rsidRDefault="009E0016" w14:paraId="7703F270" w14:textId="7826845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60800" behindDoc="0" locked="0" layoutInCell="1" allowOverlap="1" wp14:anchorId="30D1E8ED" wp14:editId="2BE61FEA">
            <wp:simplePos x="0" y="0"/>
            <wp:positionH relativeFrom="column">
              <wp:posOffset>3784710</wp:posOffset>
            </wp:positionH>
            <wp:positionV relativeFrom="paragraph">
              <wp:posOffset>136911</wp:posOffset>
            </wp:positionV>
            <wp:extent cx="1946275" cy="161353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42A50" w:rsidR="007D7581" w:rsidP="009E0016" w:rsidRDefault="007D7581" w14:paraId="34606CE1" w14:textId="242345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trike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Dni otvorených dát EÚ ukončilo finále každoročnej súťaže v oblasti otvorených dát EU Datathon.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Deväť tímov finalistov, ktoré boli vybrané spomedzi takmer 100 prihlášok z 33 krajín, súťažilo v troch kategóriách zodpovedajúcich politickým prioritám Európskej komisie.</w:t>
      </w:r>
    </w:p>
    <w:p w:rsidRPr="003867CA" w:rsidR="00B42A50" w:rsidP="009E0016" w:rsidRDefault="00B42A50" w14:paraId="723DB200" w14:textId="4AA940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="007D7581" w:rsidP="1DB42B79" w:rsidRDefault="007D7581" w14:paraId="43E2A808" w14:textId="107A8225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Pred finále tieto tímy predstavili svoje nápady na aplikácie založené na otvorených dátach EÚ v súbore</w:t>
      </w:r>
      <w:r>
        <w:t xml:space="preserve"> </w:t>
      </w:r>
      <w:hyperlink r:id="R916a1cdcc0a84d65">
        <w:r>
          <w:rPr>
            <w:rStyle w:val="Hyperlink"/>
            <w:sz w:val="22"/>
            <w:szCs w:val="22"/>
            <w:rFonts w:ascii="Calibri" w:hAnsi="Calibri"/>
          </w:rPr>
          <w:t xml:space="preserve">videí</w:t>
        </w:r>
      </w:hyperlink>
      <w:r>
        <w:rPr>
          <w:rStyle w:val="normaltextrun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Dňa 25. novembra 2021 predviedli porote a publiku plne funkčné aplikácie.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Súťažilo sa celkovo o 99 000 EUR a o cenu verejnosti.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Komisár Johannes Hahn vo svojom hlavnom prejave ocenil inovačné prístupy a riešenia tímov, ktoré majú Európe pomôcť riešiť jej kľúčové výzvy: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„Napredovanie nie je limitované len nedostatkom technológie, ale často nedostatkom vhodného nastavenia mysle...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Vytvorili ste zmysluplné nové projekty a vyvinuli ste funkčné aplikácie na riešenie kľúčových výziev.</w:t>
      </w:r>
      <w:r>
        <w:rPr>
          <w:sz w:val="22"/>
          <w:szCs w:val="22"/>
          <w:rStyle w:val="eop"/>
          <w:rFonts w:ascii="Calibri" w:hAnsi="Calibri"/>
        </w:rPr>
        <w:t xml:space="preserve">“</w:t>
      </w:r>
    </w:p>
    <w:p w:rsidR="009E0016" w:rsidP="009E0016" w:rsidRDefault="009E0016" w14:paraId="292E226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en-GB"/>
        </w:rPr>
      </w:pPr>
    </w:p>
    <w:p w:rsidR="009E0016" w:rsidP="009E0016" w:rsidRDefault="009E0016" w14:paraId="0FD621D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sz w:val="22"/>
          <w:szCs w:val="22"/>
          <w:rFonts w:ascii="Calibri" w:hAnsi="Calibri"/>
        </w:rPr>
        <w:drawing>
          <wp:inline distT="0" distB="0" distL="0" distR="0" wp14:anchorId="4694027F" wp14:editId="3B87287F">
            <wp:extent cx="5731510" cy="32213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salist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016" w:rsidP="009E0016" w:rsidRDefault="009E0016" w14:paraId="62A9CFB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Pr="007D7581" w:rsidR="007D7581" w:rsidP="009E0016" w:rsidRDefault="007D7581" w14:paraId="7D4C549C" w14:textId="24DD8E5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Porota pozostávajúca z 18 odborníkov na dáta, ktorej predsedal Per Nymand-Andersen (Európska centrálna banka), vybrala víťazov v rámci každej výzvy.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B42A50" w:rsidP="009E0016" w:rsidRDefault="00B42A50" w14:paraId="7456EC8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7D7581" w:rsidR="007D7581" w:rsidP="009E0016" w:rsidRDefault="007D7581" w14:paraId="45BC69EE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Víťazi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výzvy 1: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Európska zelená dohoda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156775BB" w14:textId="4041CBD6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1. miesto: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The Carbons</w:t>
      </w:r>
      <w:r>
        <w:rPr>
          <w:sz w:val="22"/>
          <w:szCs w:val="22"/>
          <w:rStyle w:val="normaltextrun"/>
          <w:rFonts w:ascii="Calibri" w:hAnsi="Calibri"/>
        </w:rPr>
        <w:t xml:space="preserve"> – Načerpajte energiu bez poškodenia Zeme.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(India)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838B18A" w14:textId="4514D7B5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2. miesto: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cleanSpot</w:t>
      </w:r>
      <w:r>
        <w:rPr>
          <w:sz w:val="22"/>
          <w:szCs w:val="22"/>
          <w:rStyle w:val="normaltextrun"/>
          <w:rFonts w:ascii="Calibri" w:hAnsi="Calibri"/>
        </w:rPr>
        <w:t xml:space="preserve"> – Zvýšte mieru recyklácie, pretože neexistuje žiadna planéta B. (Španielsko)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1FFF26B" w14:textId="34BF045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3. miesto: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FROG2G</w:t>
      </w:r>
      <w:r>
        <w:rPr>
          <w:sz w:val="22"/>
          <w:szCs w:val="22"/>
          <w:rStyle w:val="normaltextrun"/>
          <w:rFonts w:ascii="Calibri" w:hAnsi="Calibri"/>
        </w:rPr>
        <w:t xml:space="preserve"> – Premeňte svoje mesto zo sivého na zelené, strom po strome.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(Čierna Hora)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4CE2869" w14:textId="2A8A4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63F10C26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Víťazi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výzvy 2: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Hospodárstvo, ktoré pracuje v prospech ľudí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43BE90B0" w14:textId="2139ABA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1. miesto: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ITER IDEA</w:t>
      </w:r>
      <w:r>
        <w:rPr>
          <w:sz w:val="22"/>
          <w:szCs w:val="22"/>
          <w:rStyle w:val="normaltextrun"/>
          <w:rFonts w:ascii="Calibri" w:hAnsi="Calibri"/>
        </w:rPr>
        <w:t xml:space="preserve"> – Nový portál uľahčujúci mobilitu žien v Európe.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(Taliansko)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014567DF" w14:textId="7356674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2. miesto: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PowerToYEUth</w:t>
      </w:r>
      <w:r>
        <w:rPr>
          <w:sz w:val="22"/>
          <w:szCs w:val="22"/>
          <w:rStyle w:val="normaltextrun"/>
          <w:rFonts w:ascii="Calibri" w:hAnsi="Calibri"/>
        </w:rPr>
        <w:t xml:space="preserve"> – Nájdite verejné financovanie pre svoj MSP a zvýšte zamestnanosť mladých ľudí.</w:t>
      </w:r>
      <w:r>
        <w:rPr>
          <w:sz w:val="22"/>
          <w:szCs w:val="22"/>
          <w:rStyle w:val="eop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(Portugalsko)</w:t>
      </w:r>
    </w:p>
    <w:p w:rsidRPr="007D7581" w:rsidR="003867CA" w:rsidP="009E0016" w:rsidRDefault="00644D23" w14:paraId="794B4979" w14:textId="39479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3. miesto: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CityScale</w:t>
      </w:r>
      <w:r>
        <w:rPr>
          <w:sz w:val="22"/>
          <w:szCs w:val="22"/>
          <w:rStyle w:val="normaltextrun"/>
          <w:rFonts w:ascii="Calibri" w:hAnsi="Calibri"/>
        </w:rPr>
        <w:t xml:space="preserve"> – Vizualizujte, porovnávajte a nájdite si najlepšie miesto na život.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(Ukrajina)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6F35F39C" w14:textId="4E1471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03CF9393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Víťazi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výzvy 3: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Európa pripravená na digitálny vek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A35B4A3" w14:textId="487E2CAD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1. miesto:</w:t>
      </w:r>
      <w:r>
        <w:rPr>
          <w:sz w:val="22"/>
          <w:szCs w:val="22"/>
          <w:rStyle w:val="normaltextrun"/>
          <w:b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TrackmyEU</w:t>
      </w:r>
      <w:r>
        <w:rPr>
          <w:sz w:val="22"/>
          <w:szCs w:val="22"/>
          <w:rStyle w:val="normaltextrun"/>
          <w:rFonts w:ascii="Calibri" w:hAnsi="Calibri"/>
        </w:rPr>
        <w:t xml:space="preserve"> – Preskúmajte politiky EÚ, poznačte si všetko zaujímavé a vyjadrite svoj názor v Bruseli!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(Francúzsko, Taliansko)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12CECD24" w14:textId="5B1A068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2. miesto: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Democracy Game</w:t>
      </w:r>
      <w:r>
        <w:rPr>
          <w:sz w:val="22"/>
          <w:szCs w:val="22"/>
          <w:rStyle w:val="normaltextrun"/>
          <w:rFonts w:ascii="Calibri" w:hAnsi="Calibri"/>
        </w:rPr>
        <w:t xml:space="preserve"> – Vyskúšajte si politiku pomocou virtuálneho diskusného nástroja.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(Grécko)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38D84FA" w14:textId="386BF7C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3. miesto: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VislmE-360</w:t>
      </w:r>
      <w:r>
        <w:rPr>
          <w:sz w:val="22"/>
          <w:szCs w:val="22"/>
          <w:rStyle w:val="normaltextrun"/>
          <w:rFonts w:ascii="Calibri" w:hAnsi="Calibri"/>
        </w:rPr>
        <w:t xml:space="preserve">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Získajte 360ᵒ pohľad na zrakové postihnutie v EÚ.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(Taliansko)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1237F94" w14:textId="49B9AF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39E20BBC" w14:textId="0736E1AA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Cena verejnosti</w:t>
      </w:r>
    </w:p>
    <w:p w:rsidR="00AC3865" w:rsidP="009E0016" w:rsidRDefault="00AC3865" w14:paraId="4619A6E5" w14:textId="5F7BE6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rFonts w:ascii="Calibri" w:hAnsi="Calibri"/>
        </w:rPr>
        <w:t xml:space="preserve">Cena verejnosti bola udelená týmto tímom: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644D23" w:rsidR="00AC3865" w:rsidP="009E0016" w:rsidRDefault="00AC3865" w14:paraId="222D59F3" w14:textId="372E3A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1. miesto: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bCs/>
          <w:rFonts w:ascii="Calibri" w:hAnsi="Calibri"/>
        </w:rPr>
        <w:t xml:space="preserve">ITER IDEA</w:t>
      </w:r>
      <w:r>
        <w:rPr>
          <w:rStyle w:val="normaltextrun"/>
          <w:sz w:val="22"/>
          <w:szCs w:val="22"/>
          <w:rFonts w:ascii="Calibri" w:hAnsi="Calibri"/>
        </w:rPr>
        <w:t xml:space="preserve"> (Taliansko)</w:t>
      </w:r>
    </w:p>
    <w:p w:rsidR="00AC3865" w:rsidP="009E0016" w:rsidRDefault="00AC3865" w14:paraId="3BF07FD0" w14:textId="2FA162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2. miesto: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bCs/>
          <w:rFonts w:ascii="Calibri" w:hAnsi="Calibri"/>
        </w:rPr>
        <w:t xml:space="preserve">cleanSpot</w:t>
      </w:r>
      <w:r>
        <w:rPr>
          <w:rStyle w:val="normaltextrun"/>
          <w:sz w:val="22"/>
          <w:szCs w:val="22"/>
          <w:rFonts w:ascii="Calibri" w:hAnsi="Calibri"/>
        </w:rPr>
        <w:t xml:space="preserve"> (Španielsko)</w:t>
      </w:r>
    </w:p>
    <w:p w:rsidRPr="00644D23" w:rsidR="00AC3865" w:rsidP="009E0016" w:rsidRDefault="00AC3865" w14:paraId="15F45A9F" w14:textId="3503A54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3. miesto: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bCs/>
          <w:rFonts w:ascii="Calibri" w:hAnsi="Calibri"/>
        </w:rPr>
        <w:t xml:space="preserve">FROG2G</w:t>
      </w:r>
      <w:r>
        <w:rPr>
          <w:rStyle w:val="normaltextrun"/>
          <w:sz w:val="22"/>
          <w:szCs w:val="22"/>
          <w:rFonts w:ascii="Calibri" w:hAnsi="Calibri"/>
        </w:rPr>
        <w:t xml:space="preserve"> (Čierna Hora)</w:t>
      </w:r>
    </w:p>
    <w:p w:rsidR="2BB2B4B9" w:rsidP="009E0016" w:rsidRDefault="2BB2B4B9" w14:paraId="0A5CDC3C" w14:textId="1BF9B78B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B42A50" w:rsidR="007D7581" w:rsidP="009E0016" w:rsidRDefault="007D7581" w14:paraId="192F049F" w14:textId="03BBF850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Dni otvorených dát EÚ zorganizoval</w:t>
      </w:r>
      <w:r>
        <w:t xml:space="preserve"> </w:t>
      </w:r>
      <w:hyperlink w:history="1" r:id="rId15">
        <w:r>
          <w:rPr>
            <w:rStyle w:val="Hyperlink"/>
            <w:sz w:val="22"/>
            <w:szCs w:val="22"/>
            <w:rFonts w:ascii="Calibri" w:hAnsi="Calibri"/>
          </w:rPr>
          <w:t xml:space="preserve">Úrad pre vydávanie publikácií Európskej únie</w:t>
        </w:r>
      </w:hyperlink>
      <w: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 aktívnou podporou viac ako 60 partnerov zastupujúcich poskytovateľov dát z inštitúcií a agentúr EÚ, európskeho národného portálu otvorených dát a vnútroštátnych štatistických úradov, ako aj kľúčových aktérov v oblasti digitalizácie v Luxembursku.</w:t>
      </w:r>
    </w:p>
    <w:p w:rsidRPr="00B42A50" w:rsidR="006B3E23" w:rsidP="009E0016" w:rsidRDefault="009E0016" w14:paraId="3BD11517" w14:textId="77777777">
      <w:pPr>
        <w:jc w:val="both"/>
        <w:rPr>
          <w:lang w:val="en-IE"/>
        </w:rPr>
      </w:pPr>
    </w:p>
    <w:sectPr w:rsidRPr="00B42A50" w:rsidR="006B3E2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FA7D97" w16cex:dateUtc="2021-11-22T17:01:37.801Z"/>
  <w16cex:commentExtensible w16cex:durableId="74381B17" w16cex:dateUtc="2021-11-22T17:01:52.728Z"/>
  <w16cex:commentExtensible w16cex:durableId="0F88C8B9" w16cex:dateUtc="2021-11-22T17:06:45.555Z"/>
  <w16cex:commentExtensible w16cex:durableId="58B1012D" w16cex:dateUtc="2021-11-22T17:07:33.782Z"/>
  <w16cex:commentExtensible w16cex:durableId="1BF47118" w16cex:dateUtc="2021-11-23T09:19:23.784Z"/>
  <w16cex:commentExtensible w16cex:durableId="744BBFD9" w16cex:dateUtc="2021-11-23T09:19:57.9Z"/>
  <w16cex:commentExtensible w16cex:durableId="633AF269" w16cex:dateUtc="2021-11-23T09:20:36.254Z"/>
  <w16cex:commentExtensible w16cex:durableId="019FA3C6" w16cex:dateUtc="2021-11-23T09:23:25.627Z"/>
  <w16cex:commentExtensible w16cex:durableId="5A98B054" w16cex:dateUtc="2021-11-23T11:23:56.91Z"/>
  <w16cex:commentExtensible w16cex:durableId="0A3FD62E" w16cex:dateUtc="2021-11-23T11:27:08.373Z"/>
  <w16cex:commentExtensible w16cex:durableId="334D9BC7" w16cex:dateUtc="2021-11-23T11:27:26.999Z"/>
  <w16cex:commentExtensible w16cex:durableId="5993F6BA" w16cex:dateUtc="2021-11-23T14:46:07.68Z"/>
  <w16cex:commentExtensible w16cex:durableId="57470255" w16cex:dateUtc="2021-11-23T15:26:56.033Z"/>
  <w16cex:commentExtensible w16cex:durableId="38893DE9" w16cex:dateUtc="2021-11-24T10:08:24.349Z"/>
  <w16cex:commentExtensible w16cex:durableId="7F0AA557" w16cex:dateUtc="2021-11-25T11:11:31.8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C4A8F1" w16cid:durableId="64B4BD64"/>
  <w16cid:commentId w16cid:paraId="31920529" w16cid:durableId="556B6FB6"/>
  <w16cid:commentId w16cid:paraId="464A26C4" w16cid:durableId="00FA7D97"/>
  <w16cid:commentId w16cid:paraId="50579832" w16cid:durableId="74381B17"/>
  <w16cid:commentId w16cid:paraId="5038ACFE" w16cid:durableId="0F88C8B9"/>
  <w16cid:commentId w16cid:paraId="747FD288" w16cid:durableId="58B1012D"/>
  <w16cid:commentId w16cid:paraId="1D1F752B" w16cid:durableId="1BF47118"/>
  <w16cid:commentId w16cid:paraId="00ABB48B" w16cid:durableId="744BBFD9"/>
  <w16cid:commentId w16cid:paraId="350DC806" w16cid:durableId="633AF269"/>
  <w16cid:commentId w16cid:paraId="589CCB2F" w16cid:durableId="019FA3C6"/>
  <w16cid:commentId w16cid:paraId="739999B3" w16cid:durableId="5A98B054"/>
  <w16cid:commentId w16cid:paraId="3FFA4B82" w16cid:durableId="0A3FD62E"/>
  <w16cid:commentId w16cid:paraId="15547FC6" w16cid:durableId="334D9BC7"/>
  <w16cid:commentId w16cid:paraId="6BB1203E" w16cid:durableId="5993F6BA"/>
  <w16cid:commentId w16cid:paraId="157199E2" w16cid:durableId="57470255"/>
  <w16cid:commentId w16cid:paraId="52F8B279" w16cid:durableId="38893DE9"/>
  <w16cid:commentId w16cid:paraId="66DF3573" w16cid:durableId="7F0AA5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81"/>
    <w:rsid w:val="000C3BA0"/>
    <w:rsid w:val="001B51CA"/>
    <w:rsid w:val="002978ED"/>
    <w:rsid w:val="003867CA"/>
    <w:rsid w:val="00644D23"/>
    <w:rsid w:val="007D7581"/>
    <w:rsid w:val="008553EA"/>
    <w:rsid w:val="00894AC9"/>
    <w:rsid w:val="009A236B"/>
    <w:rsid w:val="009E0016"/>
    <w:rsid w:val="00AC3865"/>
    <w:rsid w:val="00AF68E0"/>
    <w:rsid w:val="00B42A50"/>
    <w:rsid w:val="00BC3713"/>
    <w:rsid w:val="00C53002"/>
    <w:rsid w:val="00D35448"/>
    <w:rsid w:val="00DD6D75"/>
    <w:rsid w:val="00DD7857"/>
    <w:rsid w:val="00F6325B"/>
    <w:rsid w:val="00FF1FA2"/>
    <w:rsid w:val="01F6CCFE"/>
    <w:rsid w:val="034C303B"/>
    <w:rsid w:val="0906D950"/>
    <w:rsid w:val="0F734AF6"/>
    <w:rsid w:val="0FFF96B4"/>
    <w:rsid w:val="12FB3AA0"/>
    <w:rsid w:val="13B3633C"/>
    <w:rsid w:val="1C631A44"/>
    <w:rsid w:val="1CB4E578"/>
    <w:rsid w:val="1DB42B79"/>
    <w:rsid w:val="24A4AAC8"/>
    <w:rsid w:val="26C1E8DE"/>
    <w:rsid w:val="2B0328A7"/>
    <w:rsid w:val="2BB2B4B9"/>
    <w:rsid w:val="2FEF49FA"/>
    <w:rsid w:val="3307C30F"/>
    <w:rsid w:val="3406DE28"/>
    <w:rsid w:val="34743D35"/>
    <w:rsid w:val="3561C7B4"/>
    <w:rsid w:val="3739BD8C"/>
    <w:rsid w:val="3802F0AE"/>
    <w:rsid w:val="3BC6AD74"/>
    <w:rsid w:val="3C34A501"/>
    <w:rsid w:val="3F48BA11"/>
    <w:rsid w:val="3F67B453"/>
    <w:rsid w:val="40027290"/>
    <w:rsid w:val="405B66DD"/>
    <w:rsid w:val="44158758"/>
    <w:rsid w:val="44AA6C8F"/>
    <w:rsid w:val="4A4BA79F"/>
    <w:rsid w:val="4B019009"/>
    <w:rsid w:val="50485663"/>
    <w:rsid w:val="53D96188"/>
    <w:rsid w:val="564AA27B"/>
    <w:rsid w:val="57722194"/>
    <w:rsid w:val="596DD439"/>
    <w:rsid w:val="5B4AD116"/>
    <w:rsid w:val="5F8D0D81"/>
    <w:rsid w:val="61749641"/>
    <w:rsid w:val="632DC15A"/>
    <w:rsid w:val="63C2229F"/>
    <w:rsid w:val="6483A755"/>
    <w:rsid w:val="67C23267"/>
    <w:rsid w:val="68743436"/>
    <w:rsid w:val="6A7BB871"/>
    <w:rsid w:val="6C12EF29"/>
    <w:rsid w:val="6C4BFFC2"/>
    <w:rsid w:val="6E2B13F5"/>
    <w:rsid w:val="72589DE4"/>
    <w:rsid w:val="76DB7A67"/>
    <w:rsid w:val="772C0F07"/>
    <w:rsid w:val="7AFE0859"/>
    <w:rsid w:val="7CA9E4A1"/>
    <w:rsid w:val="7F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782B"/>
  <w15:chartTrackingRefBased/>
  <w15:docId w15:val="{34895E3D-A2DD-461E-98A0-479894D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D75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normaltextrun" w:customStyle="1">
    <w:name w:val="normaltextrun"/>
    <w:basedOn w:val="DefaultParagraphFont"/>
    <w:rsid w:val="007D7581"/>
  </w:style>
  <w:style w:type="character" w:styleId="eop" w:customStyle="1">
    <w:name w:val="eop"/>
    <w:basedOn w:val="DefaultParagraphFont"/>
    <w:rsid w:val="007D7581"/>
  </w:style>
  <w:style w:type="character" w:styleId="Hyperlink">
    <w:name w:val="Hyperlink"/>
    <w:basedOn w:val="DefaultParagraphFont"/>
    <w:uiPriority w:val="99"/>
    <w:unhideWhenUsed/>
    <w:rsid w:val="00D354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4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5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4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5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5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p.europa.eu/en/web/eudataviz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microsoft.com/office/2016/09/relationships/commentsIds" Target="commentsIds.xml" Id="Rc7f5d4bd0add441a" /><Relationship Type="http://schemas.microsoft.com/office/2018/08/relationships/commentsExtensible" Target="commentsExtensible.xml" Id="R10921b2158534410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hyperlink" Target="https://op.europa.eu/en/home" TargetMode="External" Id="rId15" /><Relationship Type="http://schemas.openxmlformats.org/officeDocument/2006/relationships/styles" Target="styles.xml" Id="rId4" /><Relationship Type="http://schemas.openxmlformats.org/officeDocument/2006/relationships/hyperlink" Target="https://op.europa.eu/en/web/eudatathon" TargetMode="External" Id="rId9" /><Relationship Type="http://schemas.openxmlformats.org/officeDocument/2006/relationships/image" Target="media/image4.png" Id="rId14" /><Relationship Type="http://schemas.openxmlformats.org/officeDocument/2006/relationships/hyperlink" Target="https://www.youtube.com/playlist?list=PLT5rARDev_rnik8jF6E8k5AjN5zeJmqXG" TargetMode="External" Id="R916a1cdcc0a84d65" /><Relationship Type="http://schemas.openxmlformats.org/officeDocument/2006/relationships/hyperlink" Target="https://op.europa.eu/en/web/euopendatadays" TargetMode="External" Id="R8e1ba1c8eea745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4D7F10F2-B628-4813-ADF9-684E839D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49102-74D6-4766-B555-375AD8B4C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58E73-01BE-4E58-A6EA-5307AC4FF13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FURSTENZELLER Tomas (OP)</dc:creator>
  <keywords/>
  <dc:description/>
  <lastModifiedBy>FURSTENZELLER Tomas (OP)</lastModifiedBy>
  <revision>14</revision>
  <dcterms:created xsi:type="dcterms:W3CDTF">2021-11-18T15:00:00.0000000Z</dcterms:created>
  <dcterms:modified xsi:type="dcterms:W3CDTF">2021-11-26T11:02:44.7864919Z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