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AF68E0" w:rsidP="009E0016" w:rsidRDefault="00AF68E0" w14:paraId="0A0BFE27" w14:textId="6999D6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  <w:rFonts w:ascii="Calibri" w:hAnsi="Calibri" w:cs="Calibri"/>
        </w:rPr>
      </w:pPr>
      <w:r>
        <w:rPr>
          <w:b/>
          <w:bCs/>
          <w:sz w:val="28"/>
          <w:szCs w:val="28"/>
          <w:rFonts w:ascii="Calibri" w:hAnsi="Calibri"/>
        </w:rPr>
        <w:drawing>
          <wp:inline distT="0" distB="0" distL="0" distR="0" wp14:anchorId="7B2710F3" wp14:editId="2A5DA7D3">
            <wp:extent cx="5724232" cy="7076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D_Banner04-Leaderboard-Stati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704" cy="72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713" w:rsidP="009E0016" w:rsidRDefault="00BC3713" w14:paraId="4DD6CA4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  <w:lang w:val="en-GB"/>
        </w:rPr>
      </w:pPr>
    </w:p>
    <w:p w:rsidRPr="00FF1FA2" w:rsidR="007D7581" w:rsidP="009E0016" w:rsidRDefault="007D7581" w14:paraId="004A0EB6" w14:textId="31544C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  <w:rFonts w:ascii="Calibri" w:hAnsi="Calibri" w:cs="Calibri"/>
        </w:rPr>
      </w:pPr>
      <w:r>
        <w:rPr>
          <w:rStyle w:val="normaltextrun"/>
          <w:b/>
          <w:bCs/>
          <w:sz w:val="28"/>
          <w:szCs w:val="28"/>
          <w:rFonts w:ascii="Calibri" w:hAnsi="Calibri"/>
        </w:rPr>
        <w:t xml:space="preserve">Изграждане на нашето цифрово бъдеще с първите Дни на отворените данни на ЕС</w:t>
      </w:r>
    </w:p>
    <w:p w:rsidR="007D7581" w:rsidP="009E0016" w:rsidRDefault="007D7581" w14:paraId="342317E9" w14:textId="0A18AC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DD6D75" w:rsidP="009E0016" w:rsidRDefault="00DD6D75" w14:paraId="6FA5AE2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41591D8A" w14:textId="3BB1FED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Първите Дни на отворените данни на ЕС се проведоха онлайн от 23 до 25 ноември 2021 г.</w:t>
      </w: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 </w:t>
      </w: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В рамките на събитието се проведе международна конференция по отворени данни и визуализация на данните  </w:t>
      </w:r>
      <w:hyperlink r:id="rId8">
        <w:r>
          <w:rPr>
            <w:rStyle w:val="Hyperlink"/>
            <w:b/>
            <w:bCs/>
            <w:sz w:val="22"/>
            <w:szCs w:val="22"/>
            <w:rFonts w:ascii="Calibri" w:hAnsi="Calibri"/>
          </w:rPr>
          <w:t xml:space="preserve">EU DataViz</w:t>
        </w:r>
      </w:hyperlink>
      <w:r>
        <w:rPr>
          <w:rStyle w:val="normaltextrun"/>
          <w:b/>
          <w:bCs/>
          <w:sz w:val="22"/>
          <w:szCs w:val="22"/>
          <w:rFonts w:ascii="Calibri" w:hAnsi="Calibri"/>
        </w:rPr>
        <w:t xml:space="preserve">, последвана от финала на ежегодния конкурс за отворени данни </w:t>
      </w:r>
      <w:hyperlink r:id="rId9">
        <w:r>
          <w:rPr>
            <w:rStyle w:val="Hyperlink"/>
            <w:b/>
            <w:bCs/>
            <w:sz w:val="22"/>
            <w:szCs w:val="22"/>
            <w:rFonts w:ascii="Calibri" w:hAnsi="Calibri"/>
          </w:rPr>
          <w:t xml:space="preserve">EU Datathon</w:t>
        </w:r>
      </w:hyperlink>
      <w:r>
        <w:rPr>
          <w:sz w:val="22"/>
          <w:szCs w:val="22"/>
          <w:rStyle w:val="normaltextrun"/>
          <w:b/>
          <w:bCs/>
          <w:rFonts w:ascii="Calibri" w:hAnsi="Calibri"/>
        </w:rPr>
        <w:t xml:space="preserve">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="007D7581" w:rsidP="009E0016" w:rsidRDefault="007D7581" w14:paraId="12CEFB7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:rsidR="007D7581" w:rsidP="596DD439" w:rsidRDefault="007D7581" w14:paraId="2991F73F" w14:textId="728091C0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hyperlink r:id="R8e1ba1c8eea74597">
        <w:r>
          <w:rPr>
            <w:rStyle w:val="Hyperlink"/>
            <w:sz w:val="22"/>
            <w:szCs w:val="22"/>
            <w:rFonts w:ascii="Calibri" w:hAnsi="Calibri"/>
          </w:rPr>
          <w:t xml:space="preserve">Дните на отворените данни на ЕС</w:t>
        </w:r>
      </w:hyperlink>
      <w:r>
        <w:rPr>
          <w:rStyle w:val="normaltextrun"/>
          <w:sz w:val="22"/>
          <w:szCs w:val="22"/>
          <w:rFonts w:ascii="Calibri" w:hAnsi="Calibri"/>
        </w:rPr>
        <w:t xml:space="preserve"> бяха така изградени, че да бъдат от значение за всички заинтересовани страни и ползватели в областта на отворените данни със специален акцент върху нуждите на публичния сектор на ЕС</w:t>
      </w:r>
      <w:r>
        <w:rPr>
          <w:rStyle w:val="normaltextrun"/>
          <w:sz w:val="22"/>
          <w:szCs w:val="22"/>
          <w:rFonts w:ascii="Calibri" w:hAnsi="Calibri"/>
        </w:rPr>
        <w:t xml:space="preserve">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За събитието постъпиха над 2000 регистрации от ентусиасти, експерти по визуализацията на данни и търсещи решения страни.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Бяха представени различни сектори на обществото, като ораторите споделиха своя опит, събран в публични администрации, университети и международни организации като Световната банка.</w:t>
      </w:r>
    </w:p>
    <w:p w:rsidRPr="00B42A50" w:rsidR="007D7581" w:rsidP="009E0016" w:rsidRDefault="007D7581" w14:paraId="5FC6FEC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:rsidRPr="00B42A50" w:rsidR="007D7581" w:rsidP="009E0016" w:rsidRDefault="007D7581" w14:paraId="70282E44" w14:textId="2D46A5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Дните на отворените данни на ЕС бяха открити от новоназначения генерален директор на Службата за публикации Hilde Hardeman и бяха подкрепени от редица високопоставени основни оратори.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Xavier Bettel, министър-председател на Люксембург, изтъкна приоритета, който правителството на Люксембург отдава на цифровата трансформация, а Йоханес Хан, член на Европейската комисия, отговарящ за бюджета и администрацията, представи контекста на визията на Комисията за цифровата трансформация на ЕС до 2030 г.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Вдъхновяващи бележки относно бъдещето на свободно достъпните данни бяха направени от Boštjan Koritnik, министър на публичната администрация на Словения, представляващ словенското председателство на Съвета на Европейския съюз, и Pascal Leardini, заместник генерален секретар и главен оперативен директор на Европейската комисия.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</w:p>
    <w:p w:rsidR="00B42A50" w:rsidP="009E0016" w:rsidRDefault="00B42A50" w14:paraId="5083E615" w14:textId="0A60479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DD6D75" w:rsidP="009E0016" w:rsidRDefault="00DD6D75" w14:paraId="7A0AC446" w14:textId="54D610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9E0016" w:rsidR="007D7581" w:rsidP="009E0016" w:rsidRDefault="007D7581" w14:paraId="6F1E8560" w14:textId="46EBDF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EU DataViz 2021 (23—24 ноември 2021 г.)</w:t>
      </w:r>
    </w:p>
    <w:p w:rsidRPr="009E0016" w:rsidR="00BC3713" w:rsidP="009E0016" w:rsidRDefault="00BC3713" w14:paraId="586C476E" w14:textId="4A8ECC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D35448" w:rsidR="007D7581" w:rsidP="009E0016" w:rsidRDefault="009E0016" w14:paraId="00EF943D" w14:textId="61E489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18"/>
          <w:szCs w:val="18"/>
          <w:rFonts w:ascii="Segoe UI" w:hAnsi="Segoe UI" w:cs="Segoe UI"/>
        </w:rPr>
      </w:pPr>
      <w:r>
        <w:drawing>
          <wp:anchor distT="0" distB="0" distL="114300" distR="114300" simplePos="0" relativeHeight="251656704" behindDoc="0" locked="0" layoutInCell="1" allowOverlap="1" wp14:anchorId="1C85E089" wp14:editId="1E46071C">
            <wp:simplePos x="0" y="0"/>
            <wp:positionH relativeFrom="column">
              <wp:posOffset>3805693</wp:posOffset>
            </wp:positionH>
            <wp:positionV relativeFrom="paragraph">
              <wp:posOffset>8890</wp:posOffset>
            </wp:positionV>
            <wp:extent cx="1917700" cy="160591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sz w:val="22"/>
          <w:szCs w:val="22"/>
          <w:rFonts w:ascii="Calibri" w:hAnsi="Calibri"/>
        </w:rPr>
        <w:t xml:space="preserve">Дните на отворените данни на ЕС започнаха с конференцията EU DataViz 2021, насочена към обмен на опит и най-добри практики, свързани с отворените данни и визуализацията на данните.</w:t>
      </w:r>
      <w:r>
        <w:rPr>
          <w:sz w:val="18"/>
          <w:szCs w:val="18"/>
          <w:rFonts w:ascii="Segoe UI" w:hAnsi="Segoe U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Темата на първия ден бяха отворените данни като ключов фактор за цифровата трансформация.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На пленарна сесия Yvo Volman от Европейската комисия представи гледната точка на ЕС относно отворените данни и представи плановете на ЕС за изграждане на единен европейски пазар на данни.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На специализирани сесии бяха разгледани различни теми – от оперативната съвместимост и достъпността на отворените данни на ЕС до създаването на екосистеми за отворени данни и много други.</w:t>
      </w:r>
    </w:p>
    <w:p w:rsidR="00B42A50" w:rsidP="009E0016" w:rsidRDefault="00B42A50" w14:paraId="02168C0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:rsidR="007D7581" w:rsidP="009E0016" w:rsidRDefault="007D7581" w14:paraId="3607A8CA" w14:textId="38977E1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През втория ден ударението бе поставено върху визуализацията на данни.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Sixtine Bouygues от Европейската комисия насочи вниманието към ползите от визуализацията на данни за администрацията на ЕС и предизвикателствата в тази област, а Valérie Saintot от Европейската централна банка разгледа ролята на визуализацията на данните като носител на иновации.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Разделителните сесии вдъхновиха дискусии относно визуализацията на данните като инструмент за откриване на нови знания чрез разказване на истории и дадоха възможност за разглеждането на успешни в международен план проекти за визуализация на данни, както и на най-новите тенденции в тази област.</w:t>
      </w:r>
    </w:p>
    <w:p w:rsidR="00DD6D75" w:rsidP="009E0016" w:rsidRDefault="00DD6D75" w14:paraId="688F0045" w14:textId="130AF787">
      <w:pPr>
        <w:jc w:val="both"/>
        <w:rPr>
          <w:sz w:val="18"/>
          <w:szCs w:val="18"/>
          <w:rFonts w:ascii="Segoe UI" w:hAnsi="Segoe UI" w:eastAsia="Times New Roman" w:cs="Segoe UI"/>
        </w:rPr>
      </w:pPr>
      <w:r>
        <w:br w:type="page"/>
      </w:r>
    </w:p>
    <w:p w:rsidRPr="007D7581" w:rsidR="00DD6D75" w:rsidP="009E0016" w:rsidRDefault="00DD6D75" w14:paraId="26C6B9C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="007D7581" w:rsidP="009E0016" w:rsidRDefault="007D7581" w14:paraId="494698CB" w14:textId="222F3B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EU Datathon (25 ноември 2021 г.)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DD6D75" w:rsidP="009E0016" w:rsidRDefault="009E0016" w14:paraId="7703F270" w14:textId="7826845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drawing>
          <wp:anchor distT="0" distB="0" distL="114300" distR="114300" simplePos="0" relativeHeight="251660800" behindDoc="0" locked="0" layoutInCell="1" allowOverlap="1" wp14:anchorId="30D1E8ED" wp14:editId="2BE61FEA">
            <wp:simplePos x="0" y="0"/>
            <wp:positionH relativeFrom="column">
              <wp:posOffset>3784710</wp:posOffset>
            </wp:positionH>
            <wp:positionV relativeFrom="paragraph">
              <wp:posOffset>136911</wp:posOffset>
            </wp:positionV>
            <wp:extent cx="1946275" cy="1613535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B42A50" w:rsidR="007D7581" w:rsidP="009E0016" w:rsidRDefault="007D7581" w14:paraId="34606CE1" w14:textId="242345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trike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Дните на отворените данни на ЕС приключиха с финала на EU Datathon – ежегодния конкурс на ЕС за отворени данни.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Девет екипа финалисти, избрани измежду почти 100 кандидатури от 33 държави, се състезаваха в три категории, в съответствие с политическите приоритети на Европейската комисия.</w:t>
      </w:r>
    </w:p>
    <w:p w:rsidRPr="003867CA" w:rsidR="00B42A50" w:rsidP="009E0016" w:rsidRDefault="00B42A50" w14:paraId="723DB200" w14:textId="4AA940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:rsidR="007D7581" w:rsidP="1DB42B79" w:rsidRDefault="007D7581" w14:paraId="43E2A808" w14:textId="107A8225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Преди финала екипите представиха своите идеи за приложения, изградени на базата на отворените данни на ЕС, в поредица от</w:t>
      </w:r>
      <w:hyperlink r:id="R916a1cdcc0a84d65">
        <w:r>
          <w:rPr>
            <w:rStyle w:val="Hyperlink"/>
            <w:sz w:val="22"/>
            <w:szCs w:val="22"/>
            <w:rFonts w:ascii="Calibri" w:hAnsi="Calibri"/>
          </w:rPr>
          <w:t xml:space="preserve"> видеоматериали</w:t>
        </w:r>
      </w:hyperlink>
      <w:r>
        <w:rPr>
          <w:sz w:val="22"/>
          <w:szCs w:val="22"/>
          <w:rStyle w:val="normaltextrun"/>
          <w:rFonts w:ascii="Calibri" w:hAnsi="Calibri"/>
        </w:rPr>
        <w:t xml:space="preserve">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На 25 ноември 2021 г. те представиха напълно функциониращите приложения на журито и на публиката.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Наградният фонд беше в размер на 99 000 евро, като беше присъдена и награда на публиката.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В основното си изказване комисар Йоханес Хан похвали иновативните подходи и решения на екипите, помагащи на Европа да се справи с основните си предизвикателства: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„Пречка за напредъка се явява не само от липсата на технологии, но често и от липсата на подходяща нагласа ....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Вие сътворихте значими нови проекти и разработихте функциониращи приложения за справяне с ключови предизвикателства.</w:t>
      </w:r>
      <w:r>
        <w:rPr>
          <w:sz w:val="22"/>
          <w:szCs w:val="22"/>
          <w:rStyle w:val="eop"/>
          <w:rFonts w:ascii="Calibri" w:hAnsi="Calibri"/>
        </w:rPr>
        <w:t xml:space="preserve">“</w:t>
      </w:r>
    </w:p>
    <w:p w:rsidR="009E0016" w:rsidP="009E0016" w:rsidRDefault="009E0016" w14:paraId="292E226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en-GB"/>
        </w:rPr>
      </w:pPr>
    </w:p>
    <w:p w:rsidR="009E0016" w:rsidP="009E0016" w:rsidRDefault="009E0016" w14:paraId="0FD621D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sz w:val="22"/>
          <w:szCs w:val="22"/>
          <w:rFonts w:ascii="Calibri" w:hAnsi="Calibri"/>
        </w:rPr>
        <w:drawing>
          <wp:inline distT="0" distB="0" distL="0" distR="0" wp14:anchorId="4694027F" wp14:editId="3B87287F">
            <wp:extent cx="5731510" cy="322135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salist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016" w:rsidP="009E0016" w:rsidRDefault="009E0016" w14:paraId="62A9CFB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:rsidRPr="007D7581" w:rsidR="007D7581" w:rsidP="009E0016" w:rsidRDefault="007D7581" w14:paraId="7D4C549C" w14:textId="24DD8E53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Жури от 18 специалисти в областта на данните, председателствано от Per Nymand-Andersen (Европейска централна банка), избра победителите за всеки от конкурсите.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="00B42A50" w:rsidP="009E0016" w:rsidRDefault="00B42A50" w14:paraId="7456EC8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IE"/>
        </w:rPr>
      </w:pPr>
    </w:p>
    <w:p w:rsidRPr="007D7581" w:rsidR="007D7581" w:rsidP="009E0016" w:rsidRDefault="007D7581" w14:paraId="45BC69EE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Победителите в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конкурс 1: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Европейски зелен пакт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3867CA" w:rsidP="009E0016" w:rsidRDefault="003867CA" w14:paraId="156775BB" w14:textId="4041CBD6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1</w:t>
      </w:r>
      <w:r>
        <w:rPr>
          <w:sz w:val="22"/>
          <w:szCs w:val="22"/>
          <w:rStyle w:val="normaltextrun"/>
          <w:vertAlign w:val="superscript"/>
          <w:rFonts w:ascii="Calibri" w:hAnsi="Calibri"/>
        </w:rPr>
        <w:t xml:space="preserve">-во</w:t>
      </w:r>
      <w:r>
        <w:rPr>
          <w:sz w:val="22"/>
          <w:szCs w:val="22"/>
          <w:rStyle w:val="normaltextrun"/>
          <w:rFonts w:ascii="Calibri" w:hAnsi="Calibri"/>
        </w:rPr>
        <w:t xml:space="preserve"> място: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The Carbons</w:t>
      </w:r>
      <w:r>
        <w:rPr>
          <w:sz w:val="22"/>
          <w:szCs w:val="22"/>
          <w:rStyle w:val="normaltextrun"/>
          <w:rFonts w:ascii="Calibri" w:hAnsi="Calibri"/>
        </w:rPr>
        <w:t xml:space="preserve"> — Заредете тялото си с енергия, без да замърсявате Земята</w:t>
      </w:r>
      <w:r>
        <w:rPr>
          <w:sz w:val="22"/>
          <w:szCs w:val="22"/>
          <w:rStyle w:val="normaltextrun"/>
          <w:color w:val="8764B8"/>
          <w:rFonts w:ascii="Calibri" w:hAnsi="Calibri"/>
        </w:rPr>
        <w:t xml:space="preserve">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(Индия)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3867CA" w14:paraId="6838B18A" w14:textId="4514D7B5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2</w:t>
      </w:r>
      <w:r>
        <w:rPr>
          <w:sz w:val="22"/>
          <w:szCs w:val="22"/>
          <w:rStyle w:val="normaltextrun"/>
          <w:vertAlign w:val="superscript"/>
          <w:rFonts w:ascii="Calibri" w:hAnsi="Calibri"/>
        </w:rPr>
        <w:t xml:space="preserve">-ро</w:t>
      </w:r>
      <w:r>
        <w:rPr>
          <w:sz w:val="22"/>
          <w:szCs w:val="22"/>
          <w:rStyle w:val="normaltextrun"/>
          <w:rFonts w:ascii="Calibri" w:hAnsi="Calibri"/>
        </w:rPr>
        <w:t xml:space="preserve"> място: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CleanSpot</w:t>
      </w:r>
      <w:r>
        <w:rPr>
          <w:sz w:val="22"/>
          <w:szCs w:val="22"/>
          <w:rStyle w:val="normaltextrun"/>
          <w:rFonts w:ascii="Calibri" w:hAnsi="Calibri"/>
        </w:rPr>
        <w:t xml:space="preserve"> — Увеличете рециклираното, защото нямаме резервна планета. (Испания)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3867CA" w14:paraId="61FFF26B" w14:textId="34BF0458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3</w:t>
      </w:r>
      <w:r>
        <w:rPr>
          <w:sz w:val="22"/>
          <w:szCs w:val="22"/>
          <w:rStyle w:val="normaltextrun"/>
          <w:vertAlign w:val="superscript"/>
          <w:rFonts w:ascii="Calibri" w:hAnsi="Calibri"/>
        </w:rPr>
        <w:t xml:space="preserve">-то</w:t>
      </w:r>
      <w:r>
        <w:rPr>
          <w:sz w:val="22"/>
          <w:szCs w:val="22"/>
          <w:rStyle w:val="normaltextrun"/>
          <w:rFonts w:ascii="Calibri" w:hAnsi="Calibri"/>
        </w:rPr>
        <w:t xml:space="preserve"> място: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FROG2G</w:t>
      </w:r>
      <w:r>
        <w:rPr>
          <w:sz w:val="22"/>
          <w:szCs w:val="22"/>
          <w:rStyle w:val="normaltextrun"/>
          <w:rFonts w:ascii="Calibri" w:hAnsi="Calibri"/>
        </w:rPr>
        <w:t xml:space="preserve"> — Превърнете града си от сив в зелен — дърво след дърво.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(Черна гора)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7D7581" w14:paraId="34CE2869" w14:textId="2A8A44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63F10C26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Победителите в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конкурс 2: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Икономика в интерес на хората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3867CA" w:rsidP="009E0016" w:rsidRDefault="003867CA" w14:paraId="43BE90B0" w14:textId="2139ABA9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1</w:t>
      </w:r>
      <w:r>
        <w:rPr>
          <w:sz w:val="22"/>
          <w:szCs w:val="22"/>
          <w:rStyle w:val="normaltextrun"/>
          <w:vertAlign w:val="superscript"/>
          <w:rFonts w:ascii="Calibri" w:hAnsi="Calibri"/>
        </w:rPr>
        <w:t xml:space="preserve">-во</w:t>
      </w:r>
      <w:r>
        <w:rPr>
          <w:sz w:val="22"/>
          <w:szCs w:val="22"/>
          <w:rStyle w:val="normaltextrun"/>
          <w:rFonts w:ascii="Calibri" w:hAnsi="Calibri"/>
        </w:rPr>
        <w:t xml:space="preserve"> място: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ITER IDEA</w:t>
      </w:r>
      <w:r>
        <w:rPr>
          <w:sz w:val="22"/>
          <w:szCs w:val="22"/>
          <w:rStyle w:val="normaltextrun"/>
          <w:rFonts w:ascii="Calibri" w:hAnsi="Calibri"/>
        </w:rPr>
        <w:t xml:space="preserve"> — Нов портал за улесняване на мобилността на жените в Европа.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(Италия)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3867CA" w:rsidP="009E0016" w:rsidRDefault="003867CA" w14:paraId="014567DF" w14:textId="7356674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2</w:t>
      </w:r>
      <w:r>
        <w:rPr>
          <w:sz w:val="22"/>
          <w:szCs w:val="22"/>
          <w:rStyle w:val="normaltextrun"/>
          <w:vertAlign w:val="superscript"/>
          <w:rFonts w:ascii="Calibri" w:hAnsi="Calibri"/>
        </w:rPr>
        <w:t xml:space="preserve">-ро</w:t>
      </w:r>
      <w:r>
        <w:rPr>
          <w:sz w:val="22"/>
          <w:szCs w:val="22"/>
          <w:rStyle w:val="normaltextrun"/>
          <w:rFonts w:ascii="Calibri" w:hAnsi="Calibri"/>
        </w:rPr>
        <w:t xml:space="preserve"> място: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PowerToYEUth</w:t>
      </w:r>
      <w:r>
        <w:rPr>
          <w:sz w:val="22"/>
          <w:szCs w:val="22"/>
          <w:rStyle w:val="normaltextrun"/>
          <w:rFonts w:ascii="Calibri" w:hAnsi="Calibri"/>
        </w:rPr>
        <w:t xml:space="preserve"> — Намерете публично финансиране за Вашето МСП и подкрепете младежката заетост.</w:t>
      </w:r>
      <w:r>
        <w:rPr>
          <w:sz w:val="22"/>
          <w:szCs w:val="22"/>
          <w:rStyle w:val="eop"/>
          <w:rFonts w:ascii="Calibri" w:hAnsi="Calibri"/>
        </w:rPr>
        <w:t xml:space="preserve"> </w:t>
      </w:r>
      <w:r>
        <w:rPr>
          <w:sz w:val="22"/>
          <w:szCs w:val="22"/>
          <w:rStyle w:val="eop"/>
          <w:rFonts w:ascii="Calibri" w:hAnsi="Calibri"/>
        </w:rPr>
        <w:t xml:space="preserve">(Португалия)</w:t>
      </w:r>
    </w:p>
    <w:p w:rsidRPr="007D7581" w:rsidR="003867CA" w:rsidP="009E0016" w:rsidRDefault="00644D23" w14:paraId="794B4979" w14:textId="39479ED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3</w:t>
      </w:r>
      <w:r>
        <w:rPr>
          <w:sz w:val="22"/>
          <w:szCs w:val="22"/>
          <w:rStyle w:val="normaltextrun"/>
          <w:vertAlign w:val="superscript"/>
          <w:rFonts w:ascii="Calibri" w:hAnsi="Calibri"/>
        </w:rPr>
        <w:t xml:space="preserve">-то</w:t>
      </w:r>
      <w:r>
        <w:rPr>
          <w:sz w:val="22"/>
          <w:szCs w:val="22"/>
          <w:rStyle w:val="normaltextrun"/>
          <w:rFonts w:ascii="Calibri" w:hAnsi="Calibri"/>
        </w:rPr>
        <w:t xml:space="preserve"> място: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CityScale</w:t>
      </w:r>
      <w:r>
        <w:rPr>
          <w:sz w:val="22"/>
          <w:szCs w:val="22"/>
          <w:rStyle w:val="normaltextrun"/>
          <w:rFonts w:ascii="Calibri" w:hAnsi="Calibri"/>
        </w:rPr>
        <w:t xml:space="preserve"> — Представете, сравнете и намерете най-доброто за Вас място за живеене.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(Украйна)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7D7581" w14:paraId="6F35F39C" w14:textId="4E1471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03CF9393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Победителите в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конкурс 3: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Европа, подготвена за цифровата ера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9A236B" w:rsidP="009E0016" w:rsidRDefault="009A236B" w14:paraId="7A35B4A3" w14:textId="487E2CAD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1</w:t>
      </w:r>
      <w:r>
        <w:rPr>
          <w:sz w:val="22"/>
          <w:szCs w:val="22"/>
          <w:rStyle w:val="normaltextrun"/>
          <w:vertAlign w:val="superscript"/>
          <w:rFonts w:ascii="Calibri" w:hAnsi="Calibri"/>
        </w:rPr>
        <w:t xml:space="preserve">-во</w:t>
      </w:r>
      <w:r>
        <w:rPr>
          <w:sz w:val="22"/>
          <w:szCs w:val="22"/>
          <w:rStyle w:val="normaltextrun"/>
          <w:rFonts w:ascii="Calibri" w:hAnsi="Calibri"/>
        </w:rPr>
        <w:t xml:space="preserve"> място:</w:t>
      </w:r>
      <w:r>
        <w:rPr>
          <w:sz w:val="22"/>
          <w:szCs w:val="22"/>
          <w:rStyle w:val="normaltextrun"/>
          <w:b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TrackmyEU</w:t>
      </w:r>
      <w:r>
        <w:rPr>
          <w:sz w:val="22"/>
          <w:szCs w:val="22"/>
          <w:rStyle w:val="normaltextrun"/>
          <w:rFonts w:ascii="Calibri" w:hAnsi="Calibri"/>
        </w:rPr>
        <w:t xml:space="preserve"> — Опознайте политиките на ЕС, открийте интересните за Вас теми и кажете думата си в Брюксел!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(Франция, Италия)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9A236B" w:rsidP="009E0016" w:rsidRDefault="009A236B" w14:paraId="12CECD24" w14:textId="5B1A068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2</w:t>
      </w:r>
      <w:r>
        <w:rPr>
          <w:sz w:val="22"/>
          <w:szCs w:val="22"/>
          <w:rStyle w:val="normaltextrun"/>
          <w:vertAlign w:val="superscript"/>
          <w:rFonts w:ascii="Calibri" w:hAnsi="Calibri"/>
        </w:rPr>
        <w:t xml:space="preserve">-ро</w:t>
      </w:r>
      <w:r>
        <w:rPr>
          <w:sz w:val="22"/>
          <w:szCs w:val="22"/>
          <w:rStyle w:val="normaltextrun"/>
          <w:rFonts w:ascii="Calibri" w:hAnsi="Calibri"/>
        </w:rPr>
        <w:t xml:space="preserve"> място: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Democracy Game</w:t>
      </w:r>
      <w:r>
        <w:rPr>
          <w:sz w:val="22"/>
          <w:szCs w:val="22"/>
          <w:rStyle w:val="normaltextrun"/>
          <w:rFonts w:ascii="Calibri" w:hAnsi="Calibri"/>
        </w:rPr>
        <w:t xml:space="preserve"> — Опитайте вкуса на политиката с виртуален инструмент за обсъждане.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(Гърция)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9A236B" w:rsidP="009E0016" w:rsidRDefault="009A236B" w14:paraId="738D84FA" w14:textId="386BF7C3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3</w:t>
      </w:r>
      <w:r>
        <w:rPr>
          <w:sz w:val="22"/>
          <w:szCs w:val="22"/>
          <w:rStyle w:val="normaltextrun"/>
          <w:vertAlign w:val="superscript"/>
          <w:rFonts w:ascii="Calibri" w:hAnsi="Calibri"/>
        </w:rPr>
        <w:t xml:space="preserve">-то</w:t>
      </w:r>
      <w:r>
        <w:rPr>
          <w:sz w:val="22"/>
          <w:szCs w:val="22"/>
          <w:rStyle w:val="normaltextrun"/>
          <w:rFonts w:ascii="Calibri" w:hAnsi="Calibri"/>
        </w:rPr>
        <w:t xml:space="preserve"> място: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VislmE-360</w:t>
      </w:r>
      <w:r>
        <w:rPr>
          <w:sz w:val="22"/>
          <w:szCs w:val="22"/>
          <w:rStyle w:val="normaltextrun"/>
          <w:rFonts w:ascii="Calibri" w:hAnsi="Calibri"/>
        </w:rPr>
        <w:t xml:space="preserve">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Добийте цялостна представа за състоянието в областта на уврежданията на зрението в ЕС.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(Италия)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7D7581" w14:paraId="31237F94" w14:textId="49B9AF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39E20BBC" w14:textId="0736E1AA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Награда на публиката</w:t>
      </w:r>
    </w:p>
    <w:p w:rsidR="00AC3865" w:rsidP="009E0016" w:rsidRDefault="00AC3865" w14:paraId="4619A6E5" w14:textId="5F7BE6A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sz w:val="22"/>
          <w:szCs w:val="22"/>
          <w:rStyle w:val="normaltextrun"/>
          <w:rFonts w:ascii="Calibri" w:hAnsi="Calibri"/>
        </w:rPr>
        <w:t xml:space="preserve">Наградата на публиката беше присъдена на следните екипи: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644D23" w:rsidR="00AC3865" w:rsidP="009E0016" w:rsidRDefault="00AC3865" w14:paraId="222D59F3" w14:textId="372E3A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1</w:t>
      </w:r>
      <w:r>
        <w:rPr>
          <w:rStyle w:val="normaltextrun"/>
          <w:sz w:val="22"/>
          <w:szCs w:val="22"/>
          <w:vertAlign w:val="superscript"/>
          <w:rFonts w:ascii="Calibri" w:hAnsi="Calibri"/>
        </w:rPr>
        <w:t xml:space="preserve">-во</w:t>
      </w:r>
      <w:r>
        <w:rPr>
          <w:rStyle w:val="normaltextrun"/>
          <w:sz w:val="22"/>
          <w:szCs w:val="22"/>
          <w:rFonts w:ascii="Calibri" w:hAnsi="Calibri"/>
        </w:rPr>
        <w:t xml:space="preserve"> място: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b/>
          <w:rFonts w:ascii="Calibri" w:hAnsi="Calibri"/>
        </w:rPr>
        <w:t xml:space="preserve">ITER IDEA </w:t>
      </w:r>
      <w:r>
        <w:rPr>
          <w:rStyle w:val="normaltextrun"/>
          <w:sz w:val="22"/>
          <w:szCs w:val="22"/>
          <w:rFonts w:ascii="Calibri" w:hAnsi="Calibri"/>
        </w:rPr>
        <w:t xml:space="preserve">(Италия)</w:t>
      </w:r>
    </w:p>
    <w:p w:rsidR="00AC3865" w:rsidP="009E0016" w:rsidRDefault="00AC3865" w14:paraId="3BF07FD0" w14:textId="2FA162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2</w:t>
      </w:r>
      <w:r>
        <w:rPr>
          <w:rStyle w:val="normaltextrun"/>
          <w:sz w:val="22"/>
          <w:szCs w:val="22"/>
          <w:vertAlign w:val="superscript"/>
          <w:rFonts w:ascii="Calibri" w:hAnsi="Calibri"/>
        </w:rPr>
        <w:t xml:space="preserve">-ро</w:t>
      </w:r>
      <w:r>
        <w:rPr>
          <w:rStyle w:val="normaltextrun"/>
          <w:sz w:val="22"/>
          <w:szCs w:val="22"/>
          <w:rFonts w:ascii="Calibri" w:hAnsi="Calibri"/>
        </w:rPr>
        <w:t xml:space="preserve"> място: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b/>
          <w:rFonts w:ascii="Calibri" w:hAnsi="Calibri"/>
        </w:rPr>
        <w:t xml:space="preserve">cleanSpot </w:t>
      </w:r>
      <w:r>
        <w:rPr>
          <w:rStyle w:val="normaltextrun"/>
          <w:sz w:val="22"/>
          <w:szCs w:val="22"/>
          <w:rFonts w:ascii="Calibri" w:hAnsi="Calibri"/>
        </w:rPr>
        <w:t xml:space="preserve">(Испания)</w:t>
      </w:r>
    </w:p>
    <w:p w:rsidRPr="00644D23" w:rsidR="00AC3865" w:rsidP="009E0016" w:rsidRDefault="00AC3865" w14:paraId="15F45A9F" w14:textId="3503A541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sz w:val="22"/>
          <w:szCs w:val="22"/>
          <w:rFonts w:ascii="Calibri" w:hAnsi="Calibri"/>
        </w:rPr>
        <w:t xml:space="preserve">3</w:t>
      </w:r>
      <w:r>
        <w:rPr>
          <w:rStyle w:val="normaltextrun"/>
          <w:sz w:val="22"/>
          <w:szCs w:val="22"/>
          <w:vertAlign w:val="superscript"/>
          <w:rFonts w:ascii="Calibri" w:hAnsi="Calibri"/>
        </w:rPr>
        <w:t xml:space="preserve">-то</w:t>
      </w:r>
      <w:r>
        <w:rPr>
          <w:rStyle w:val="normaltextrun"/>
          <w:sz w:val="22"/>
          <w:szCs w:val="22"/>
          <w:rFonts w:ascii="Calibri" w:hAnsi="Calibri"/>
        </w:rPr>
        <w:t xml:space="preserve"> място: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b/>
          <w:rFonts w:ascii="Calibri" w:hAnsi="Calibri"/>
        </w:rPr>
        <w:t xml:space="preserve">FROG2G </w:t>
      </w:r>
      <w:r>
        <w:rPr>
          <w:rStyle w:val="normaltextrun"/>
          <w:sz w:val="22"/>
          <w:szCs w:val="22"/>
          <w:rFonts w:ascii="Calibri" w:hAnsi="Calibri"/>
        </w:rPr>
        <w:t xml:space="preserve">(Черна гора)</w:t>
      </w:r>
    </w:p>
    <w:p w:rsidR="2BB2B4B9" w:rsidP="009E0016" w:rsidRDefault="2BB2B4B9" w14:paraId="0A5CDC3C" w14:textId="1BF9B78B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sz w:val="22"/>
          <w:szCs w:val="22"/>
          <w:lang w:val="en-IE"/>
        </w:rPr>
      </w:pPr>
    </w:p>
    <w:p w:rsidRPr="00B42A50" w:rsidR="007D7581" w:rsidP="009E0016" w:rsidRDefault="007D7581" w14:paraId="192F049F" w14:textId="03BBF850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sz w:val="22"/>
          <w:szCs w:val="22"/>
          <w:rFonts w:ascii="Calibri" w:hAnsi="Calibri"/>
        </w:rPr>
        <w:t xml:space="preserve">Дните на отворените данни на ЕС бяха организирани от </w:t>
      </w:r>
      <w:hyperlink w:history="1" r:id="rId15">
        <w:r>
          <w:rPr>
            <w:rStyle w:val="Hyperlink"/>
            <w:sz w:val="22"/>
            <w:szCs w:val="22"/>
            <w:rFonts w:ascii="Calibri" w:hAnsi="Calibri"/>
          </w:rPr>
          <w:t xml:space="preserve">Службата за публикации на Европейския съюз</w:t>
        </w:r>
      </w:hyperlink>
      <w:r>
        <w:rPr>
          <w:rStyle w:val="normaltextrun"/>
          <w:sz w:val="22"/>
          <w:szCs w:val="22"/>
          <w:rFonts w:ascii="Calibri" w:hAnsi="Calibri"/>
        </w:rPr>
        <w:t xml:space="preserve"> с активната подкрепа на над 60 партньори, представляващи доставчиците на данни от институциите и агенциите на ЕС, Европейския портал за отворени данни, националните портали за отворени данни и националните статистически служби, както и ключови участници в областта на цифровите технологии в Люксембург.</w:t>
      </w:r>
    </w:p>
    <w:p w:rsidRPr="00B42A50" w:rsidR="006B3E23" w:rsidP="009E0016" w:rsidRDefault="009E0016" w14:paraId="3BD11517" w14:textId="77777777">
      <w:pPr>
        <w:jc w:val="both"/>
        <w:rPr>
          <w:lang w:val="en-IE"/>
        </w:rPr>
      </w:pPr>
    </w:p>
    <w:sectPr w:rsidRPr="00B42A50" w:rsidR="006B3E2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0FA7D97" w16cex:dateUtc="2021-11-22T17:01:37.801Z"/>
  <w16cex:commentExtensible w16cex:durableId="74381B17" w16cex:dateUtc="2021-11-22T17:01:52.728Z"/>
  <w16cex:commentExtensible w16cex:durableId="0F88C8B9" w16cex:dateUtc="2021-11-22T17:06:45.555Z"/>
  <w16cex:commentExtensible w16cex:durableId="58B1012D" w16cex:dateUtc="2021-11-22T17:07:33.782Z"/>
  <w16cex:commentExtensible w16cex:durableId="1BF47118" w16cex:dateUtc="2021-11-23T09:19:23.784Z"/>
  <w16cex:commentExtensible w16cex:durableId="744BBFD9" w16cex:dateUtc="2021-11-23T09:19:57.9Z"/>
  <w16cex:commentExtensible w16cex:durableId="633AF269" w16cex:dateUtc="2021-11-23T09:20:36.254Z"/>
  <w16cex:commentExtensible w16cex:durableId="019FA3C6" w16cex:dateUtc="2021-11-23T09:23:25.627Z"/>
  <w16cex:commentExtensible w16cex:durableId="5A98B054" w16cex:dateUtc="2021-11-23T11:23:56.91Z"/>
  <w16cex:commentExtensible w16cex:durableId="0A3FD62E" w16cex:dateUtc="2021-11-23T11:27:08.373Z"/>
  <w16cex:commentExtensible w16cex:durableId="334D9BC7" w16cex:dateUtc="2021-11-23T11:27:26.999Z"/>
  <w16cex:commentExtensible w16cex:durableId="5993F6BA" w16cex:dateUtc="2021-11-23T14:46:07.68Z"/>
  <w16cex:commentExtensible w16cex:durableId="57470255" w16cex:dateUtc="2021-11-23T15:26:56.033Z"/>
  <w16cex:commentExtensible w16cex:durableId="38893DE9" w16cex:dateUtc="2021-11-24T10:08:24.349Z"/>
  <w16cex:commentExtensible w16cex:durableId="7F0AA557" w16cex:dateUtc="2021-11-25T11:11:31.8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6C4A8F1" w16cid:durableId="64B4BD64"/>
  <w16cid:commentId w16cid:paraId="31920529" w16cid:durableId="556B6FB6"/>
  <w16cid:commentId w16cid:paraId="464A26C4" w16cid:durableId="00FA7D97"/>
  <w16cid:commentId w16cid:paraId="50579832" w16cid:durableId="74381B17"/>
  <w16cid:commentId w16cid:paraId="5038ACFE" w16cid:durableId="0F88C8B9"/>
  <w16cid:commentId w16cid:paraId="747FD288" w16cid:durableId="58B1012D"/>
  <w16cid:commentId w16cid:paraId="1D1F752B" w16cid:durableId="1BF47118"/>
  <w16cid:commentId w16cid:paraId="00ABB48B" w16cid:durableId="744BBFD9"/>
  <w16cid:commentId w16cid:paraId="350DC806" w16cid:durableId="633AF269"/>
  <w16cid:commentId w16cid:paraId="589CCB2F" w16cid:durableId="019FA3C6"/>
  <w16cid:commentId w16cid:paraId="739999B3" w16cid:durableId="5A98B054"/>
  <w16cid:commentId w16cid:paraId="3FFA4B82" w16cid:durableId="0A3FD62E"/>
  <w16cid:commentId w16cid:paraId="15547FC6" w16cid:durableId="334D9BC7"/>
  <w16cid:commentId w16cid:paraId="6BB1203E" w16cid:durableId="5993F6BA"/>
  <w16cid:commentId w16cid:paraId="157199E2" w16cid:durableId="57470255"/>
  <w16cid:commentId w16cid:paraId="52F8B279" w16cid:durableId="38893DE9"/>
  <w16cid:commentId w16cid:paraId="66DF3573" w16cid:durableId="7F0AA5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81"/>
    <w:rsid w:val="000C3BA0"/>
    <w:rsid w:val="001B51CA"/>
    <w:rsid w:val="002978ED"/>
    <w:rsid w:val="003867CA"/>
    <w:rsid w:val="00644D23"/>
    <w:rsid w:val="007D7581"/>
    <w:rsid w:val="008553EA"/>
    <w:rsid w:val="00894AC9"/>
    <w:rsid w:val="009A236B"/>
    <w:rsid w:val="009E0016"/>
    <w:rsid w:val="00AC3865"/>
    <w:rsid w:val="00AF68E0"/>
    <w:rsid w:val="00B42A50"/>
    <w:rsid w:val="00BC3713"/>
    <w:rsid w:val="00C53002"/>
    <w:rsid w:val="00D35448"/>
    <w:rsid w:val="00DD6D75"/>
    <w:rsid w:val="00DD7857"/>
    <w:rsid w:val="00F6325B"/>
    <w:rsid w:val="00FF1FA2"/>
    <w:rsid w:val="01F6CCFE"/>
    <w:rsid w:val="034C303B"/>
    <w:rsid w:val="0906D950"/>
    <w:rsid w:val="0F734AF6"/>
    <w:rsid w:val="0FFF96B4"/>
    <w:rsid w:val="12FB3AA0"/>
    <w:rsid w:val="13B3633C"/>
    <w:rsid w:val="1C631A44"/>
    <w:rsid w:val="1CB4E578"/>
    <w:rsid w:val="1DB42B79"/>
    <w:rsid w:val="24A4AAC8"/>
    <w:rsid w:val="26C1E8DE"/>
    <w:rsid w:val="2B0328A7"/>
    <w:rsid w:val="2BB2B4B9"/>
    <w:rsid w:val="2FEF49FA"/>
    <w:rsid w:val="3307C30F"/>
    <w:rsid w:val="3406DE28"/>
    <w:rsid w:val="34743D35"/>
    <w:rsid w:val="3561C7B4"/>
    <w:rsid w:val="3739BD8C"/>
    <w:rsid w:val="3802F0AE"/>
    <w:rsid w:val="3BC6AD74"/>
    <w:rsid w:val="3C34A501"/>
    <w:rsid w:val="3F48BA11"/>
    <w:rsid w:val="3F67B453"/>
    <w:rsid w:val="40027290"/>
    <w:rsid w:val="405B66DD"/>
    <w:rsid w:val="44158758"/>
    <w:rsid w:val="44AA6C8F"/>
    <w:rsid w:val="4A4BA79F"/>
    <w:rsid w:val="4B019009"/>
    <w:rsid w:val="50485663"/>
    <w:rsid w:val="53D96188"/>
    <w:rsid w:val="564AA27B"/>
    <w:rsid w:val="57722194"/>
    <w:rsid w:val="596DD439"/>
    <w:rsid w:val="5B4AD116"/>
    <w:rsid w:val="5F8D0D81"/>
    <w:rsid w:val="61749641"/>
    <w:rsid w:val="632DC15A"/>
    <w:rsid w:val="63C2229F"/>
    <w:rsid w:val="6483A755"/>
    <w:rsid w:val="67C23267"/>
    <w:rsid w:val="68743436"/>
    <w:rsid w:val="6A7BB871"/>
    <w:rsid w:val="6C12EF29"/>
    <w:rsid w:val="6C4BFFC2"/>
    <w:rsid w:val="6E2B13F5"/>
    <w:rsid w:val="72589DE4"/>
    <w:rsid w:val="76DB7A67"/>
    <w:rsid w:val="772C0F07"/>
    <w:rsid w:val="7AFE0859"/>
    <w:rsid w:val="7CA9E4A1"/>
    <w:rsid w:val="7FF1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782B"/>
  <w15:chartTrackingRefBased/>
  <w15:docId w15:val="{34895E3D-A2DD-461E-98A0-479894D3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D75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BE"/>
    </w:rPr>
  </w:style>
  <w:style w:type="character" w:styleId="normaltextrun" w:customStyle="1">
    <w:name w:val="normaltextrun"/>
    <w:basedOn w:val="DefaultParagraphFont"/>
    <w:rsid w:val="007D7581"/>
  </w:style>
  <w:style w:type="character" w:styleId="eop" w:customStyle="1">
    <w:name w:val="eop"/>
    <w:basedOn w:val="DefaultParagraphFont"/>
    <w:rsid w:val="007D7581"/>
  </w:style>
  <w:style w:type="character" w:styleId="Hyperlink">
    <w:name w:val="Hyperlink"/>
    <w:basedOn w:val="DefaultParagraphFont"/>
    <w:uiPriority w:val="99"/>
    <w:unhideWhenUsed/>
    <w:rsid w:val="00D3544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5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44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35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44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54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5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p.europa.eu/en/web/eudataviz/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image" Target="media/image3.png" Id="rId12" /><Relationship Type="http://schemas.openxmlformats.org/officeDocument/2006/relationships/theme" Target="theme/theme1.xml" Id="rId17" /><Relationship Type="http://schemas.microsoft.com/office/2016/09/relationships/commentsIds" Target="commentsIds.xml" Id="Rc7f5d4bd0add441a" /><Relationship Type="http://schemas.microsoft.com/office/2018/08/relationships/commentsExtensible" Target="commentsExtensible.xml" Id="R10921b2158534410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2.png" Id="rId11" /><Relationship Type="http://schemas.openxmlformats.org/officeDocument/2006/relationships/settings" Target="settings.xml" Id="rId5" /><Relationship Type="http://schemas.openxmlformats.org/officeDocument/2006/relationships/hyperlink" Target="https://op.europa.eu/en/home" TargetMode="External" Id="rId15" /><Relationship Type="http://schemas.openxmlformats.org/officeDocument/2006/relationships/styles" Target="styles.xml" Id="rId4" /><Relationship Type="http://schemas.openxmlformats.org/officeDocument/2006/relationships/hyperlink" Target="https://op.europa.eu/en/web/eudatathon" TargetMode="External" Id="rId9" /><Relationship Type="http://schemas.openxmlformats.org/officeDocument/2006/relationships/image" Target="media/image4.png" Id="rId14" /><Relationship Type="http://schemas.openxmlformats.org/officeDocument/2006/relationships/hyperlink" Target="https://www.youtube.com/playlist?list=PLT5rARDev_rnik8jF6E8k5AjN5zeJmqXG" TargetMode="External" Id="R916a1cdcc0a84d65" /><Relationship Type="http://schemas.openxmlformats.org/officeDocument/2006/relationships/hyperlink" Target="https://op.europa.eu/en/web/euopendatadays" TargetMode="External" Id="R8e1ba1c8eea745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Props1.xml><?xml version="1.0" encoding="utf-8"?>
<ds:datastoreItem xmlns:ds="http://schemas.openxmlformats.org/officeDocument/2006/customXml" ds:itemID="{4D7F10F2-B628-4813-ADF9-684E839D9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faa54b14-608b-44ba-8621-4287d9574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49102-74D6-4766-B555-375AD8B4C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58E73-01BE-4E58-A6EA-5307AC4FF131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FURSTENZELLER Tomas (OP)</dc:creator>
  <keywords/>
  <dc:description/>
  <lastModifiedBy>FURSTENZELLER Tomas (OP)</lastModifiedBy>
  <revision>14</revision>
  <dcterms:created xsi:type="dcterms:W3CDTF">2021-11-18T15:00:00.0000000Z</dcterms:created>
  <dcterms:modified xsi:type="dcterms:W3CDTF">2021-11-26T11:02:44.7864919Z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