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B1D" w14:textId="411D53EE" w:rsidR="606F9C4D" w:rsidRDefault="606F9C4D" w:rsidP="10992D35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  <w:lang w:val="en-US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998C" w14:textId="77777777" w:rsidR="00366A92" w:rsidRDefault="1DEF54A0" w:rsidP="6C917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Ibbukkja postok fil-Jiem tad-</w:t>
      </w:r>
      <w:r>
        <w:rPr>
          <w:b/>
          <w:bCs/>
          <w:i/>
          <w:iCs/>
          <w:sz w:val="24"/>
          <w:szCs w:val="24"/>
        </w:rPr>
        <w:t>Data</w:t>
      </w:r>
      <w:r>
        <w:rPr>
          <w:b/>
          <w:bCs/>
          <w:sz w:val="24"/>
          <w:szCs w:val="24"/>
        </w:rPr>
        <w:t xml:space="preserve"> Miftuħa tal-UE</w:t>
      </w:r>
    </w:p>
    <w:p w14:paraId="6DF023AF" w14:textId="664CD7DC" w:rsidR="10992D35" w:rsidRDefault="10992D35" w:rsidP="10992D35">
      <w:pPr>
        <w:rPr>
          <w:b/>
          <w:bCs/>
          <w:lang w:val="en-GB"/>
        </w:rPr>
      </w:pPr>
    </w:p>
    <w:p w14:paraId="042A74C9" w14:textId="0C6715DA" w:rsidR="6269971A" w:rsidRDefault="6D6543EC" w:rsidP="6C917D58">
      <w:pPr>
        <w:rPr>
          <w:b/>
          <w:bCs/>
        </w:rPr>
      </w:pPr>
      <w:r>
        <w:rPr>
          <w:b/>
          <w:bCs/>
        </w:rPr>
        <w:t>L-ewwel Jiem tad-</w:t>
      </w:r>
      <w:r>
        <w:rPr>
          <w:b/>
          <w:bCs/>
          <w:i/>
          <w:iCs/>
        </w:rPr>
        <w:t>Data</w:t>
      </w:r>
      <w:r>
        <w:rPr>
          <w:b/>
          <w:bCs/>
        </w:rPr>
        <w:t xml:space="preserve"> Miftuħa tal-UE li qatt saru, li tnedew f’Marzu 2021, qed jirrankaw. Dan l-avveniment uniku se jsir kompletament online mit-23 sal-25 ta’ Novembru u bħalissa qiegħed miftuħ għar-reġistrazzjoni tal-parteċipanti. Ibbukkja postok malajr! Il-Jiem tad-</w:t>
      </w:r>
      <w:r>
        <w:rPr>
          <w:b/>
          <w:bCs/>
          <w:i/>
          <w:iCs/>
        </w:rPr>
        <w:t>Data</w:t>
      </w:r>
      <w:r>
        <w:rPr>
          <w:b/>
          <w:bCs/>
        </w:rPr>
        <w:t xml:space="preserve"> Miftuħa tal-UE huma b’xejn u miftuħa għal kull min irid jattendi.</w:t>
      </w:r>
    </w:p>
    <w:p w14:paraId="7A754691" w14:textId="69BDFCF9" w:rsidR="00EC6B3E" w:rsidRPr="001434EF" w:rsidRDefault="3E2FD35E" w:rsidP="10992D3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Filwaqt li jistabbilixxu l-għan li “insawru l-futur diġitali tal-Ewropa bid-</w:t>
      </w:r>
      <w:r>
        <w:rPr>
          <w:rFonts w:ascii="Calibri" w:hAnsi="Calibri"/>
          <w:i/>
          <w:iCs/>
        </w:rPr>
        <w:t>data</w:t>
      </w:r>
      <w:r>
        <w:rPr>
          <w:rFonts w:ascii="Calibri" w:hAnsi="Calibri"/>
        </w:rPr>
        <w:t xml:space="preserve"> miftuħa”, il-Jiem tad-</w:t>
      </w:r>
      <w:r>
        <w:rPr>
          <w:rFonts w:ascii="Calibri" w:hAnsi="Calibri"/>
          <w:i/>
          <w:iCs/>
        </w:rPr>
        <w:t>Data</w:t>
      </w:r>
      <w:r>
        <w:rPr>
          <w:rFonts w:ascii="Calibri" w:hAnsi="Calibri"/>
        </w:rPr>
        <w:t xml:space="preserve"> Miftuħa tal-UE ser jenfasizzaw il-benefiċċji tad-</w:t>
      </w:r>
      <w:r>
        <w:rPr>
          <w:rFonts w:ascii="Calibri" w:hAnsi="Calibri"/>
          <w:i/>
          <w:iCs/>
        </w:rPr>
        <w:t>data</w:t>
      </w:r>
      <w:r>
        <w:rPr>
          <w:rFonts w:ascii="Calibri" w:hAnsi="Calibri"/>
        </w:rPr>
        <w:t xml:space="preserve"> miftuħa, il-viżwalizzazzjoni u l-użu mill-ġdid tagħha għas-settur pubbliku, iċ-ċittadini u n-negozji tal-UE. Il-programm rikk tal-avveniment se jkun mfassal għall-benefiċċju ta’ udjenza wiesgħa, inklużi esperti, dilettanti tad-</w:t>
      </w:r>
      <w:r>
        <w:rPr>
          <w:rFonts w:ascii="Calibri" w:hAnsi="Calibri"/>
          <w:i/>
          <w:iCs/>
        </w:rPr>
        <w:t>data</w:t>
      </w:r>
      <w:r>
        <w:rPr>
          <w:rFonts w:ascii="Calibri" w:hAnsi="Calibri"/>
        </w:rPr>
        <w:t xml:space="preserve"> miftuħa u l-pubbliku.</w:t>
      </w:r>
    </w:p>
    <w:p w14:paraId="54BBE8FF" w14:textId="4710E8BC" w:rsidR="10992D35" w:rsidRPr="00D6131A" w:rsidRDefault="10992D35" w:rsidP="10992D35">
      <w:pPr>
        <w:spacing w:line="257" w:lineRule="auto"/>
        <w:rPr>
          <w:b/>
          <w:bCs/>
        </w:rPr>
      </w:pPr>
    </w:p>
    <w:p w14:paraId="0CE82B20" w14:textId="4BCF7DEF" w:rsidR="00EC6B3E" w:rsidRPr="001434EF" w:rsidRDefault="06452E50" w:rsidP="2FACC25A">
      <w:pPr>
        <w:spacing w:line="257" w:lineRule="auto"/>
        <w:rPr>
          <w:b/>
          <w:bCs/>
        </w:rPr>
      </w:pPr>
      <w:r>
        <w:rPr>
          <w:b/>
          <w:bCs/>
        </w:rPr>
        <w:t>Esplora d-dinja tad-</w:t>
      </w:r>
      <w:r>
        <w:rPr>
          <w:b/>
          <w:bCs/>
          <w:i/>
          <w:iCs/>
        </w:rPr>
        <w:t>data</w:t>
      </w:r>
      <w:r>
        <w:rPr>
          <w:b/>
          <w:bCs/>
        </w:rPr>
        <w:t xml:space="preserve"> miftuħa</w:t>
      </w:r>
    </w:p>
    <w:p w14:paraId="41CB249F" w14:textId="3ECED6CE" w:rsidR="00503127" w:rsidRPr="004D3792" w:rsidRDefault="0E70ABE7">
      <w:r>
        <w:t>Il-</w:t>
      </w:r>
      <w:hyperlink r:id="rId10">
        <w:r>
          <w:rPr>
            <w:rStyle w:val="Hyperlink"/>
            <w:u w:val="none"/>
          </w:rPr>
          <w:t>Jiem tad-</w:t>
        </w:r>
        <w:r>
          <w:rPr>
            <w:rStyle w:val="Hyperlink"/>
            <w:i/>
            <w:iCs/>
            <w:u w:val="none"/>
          </w:rPr>
          <w:t>Data</w:t>
        </w:r>
        <w:r>
          <w:rPr>
            <w:rStyle w:val="Hyperlink"/>
            <w:u w:val="none"/>
          </w:rPr>
          <w:t xml:space="preserve"> Miftuħa tal-UE</w:t>
        </w:r>
      </w:hyperlink>
      <w:r w:rsidR="00D6131A">
        <w:rPr>
          <w:rStyle w:val="Hyperlink"/>
          <w:u w:val="none"/>
        </w:rPr>
        <w:t xml:space="preserve"> </w:t>
      </w:r>
      <w:r>
        <w:t xml:space="preserve">se jinkludu </w:t>
      </w:r>
      <w:r>
        <w:rPr>
          <w:b/>
          <w:bCs/>
        </w:rPr>
        <w:t>EU DataViz</w:t>
      </w:r>
      <w:r>
        <w:t>, konferenza tad-</w:t>
      </w:r>
      <w:r>
        <w:rPr>
          <w:i/>
          <w:iCs/>
        </w:rPr>
        <w:t>data</w:t>
      </w:r>
      <w:r>
        <w:t xml:space="preserve"> miftuħa u tal-viżwalizzazzjoni tad-</w:t>
      </w:r>
      <w:r>
        <w:rPr>
          <w:i/>
          <w:iCs/>
        </w:rPr>
        <w:t>data</w:t>
      </w:r>
      <w:r>
        <w:t xml:space="preserve"> għall-amministrazzjonijiet pubbliċi, mit-23 sal-24 ta’ Novembru u </w:t>
      </w:r>
      <w:r>
        <w:rPr>
          <w:b/>
          <w:bCs/>
        </w:rPr>
        <w:t>EU Datathon</w:t>
      </w:r>
      <w:r>
        <w:t>, il-kompetizzjoni annwali tad-</w:t>
      </w:r>
      <w:r>
        <w:rPr>
          <w:i/>
          <w:iCs/>
        </w:rPr>
        <w:t>data</w:t>
      </w:r>
      <w:r>
        <w:t xml:space="preserve"> miftuħa tal-UE, fil-25 ta’ Novembru. Il-preparamenti ġà qabżu diversi stadji importanti. Is-sejħa għal proposti għaż-żewġ partijiet tal-avveniment għalqet fil-21 ta’ Mejju u irriżultat f’247 proposta rċevuti min 47 pajjiż. L-aqwa minn dawn il-proposti ġew integrati fil-programm tal-</w:t>
      </w:r>
      <w:hyperlink r:id="rId11">
        <w:r>
          <w:rPr>
            <w:rStyle w:val="Hyperlink"/>
            <w:u w:val="none"/>
          </w:rPr>
          <w:t xml:space="preserve">konferenza </w:t>
        </w:r>
      </w:hyperlink>
      <w:r w:rsidR="00D6131A">
        <w:rPr>
          <w:rStyle w:val="Hyperlink"/>
          <w:u w:val="none"/>
        </w:rPr>
        <w:t>tal-</w:t>
      </w:r>
      <w:r>
        <w:rPr>
          <w:rStyle w:val="Hyperlink"/>
          <w:u w:val="none"/>
        </w:rPr>
        <w:t>EU DataViz</w:t>
      </w:r>
      <w:r>
        <w:t xml:space="preserve"> u rriżulta f’selezzjoni ta’ </w:t>
      </w:r>
      <w:hyperlink r:id="rId12">
        <w:r>
          <w:rPr>
            <w:rStyle w:val="Hyperlink"/>
            <w:u w:val="none"/>
          </w:rPr>
          <w:t>di</w:t>
        </w:r>
        <w:bookmarkStart w:id="0" w:name="_GoBack"/>
        <w:bookmarkEnd w:id="0"/>
        <w:r>
          <w:rPr>
            <w:rStyle w:val="Hyperlink"/>
            <w:u w:val="none"/>
          </w:rPr>
          <w:t>sa’ timijiet finalisti fl-EU Datathon</w:t>
        </w:r>
      </w:hyperlink>
      <w:r>
        <w:t xml:space="preserve"> li se jdaħħlu l-apps tagħhom fil-kompetizzjoni finali.</w:t>
      </w:r>
    </w:p>
    <w:p w14:paraId="2A898515" w14:textId="574F6225" w:rsidR="10992D35" w:rsidRPr="00D6131A" w:rsidRDefault="10992D35" w:rsidP="10992D35">
      <w:pPr>
        <w:rPr>
          <w:b/>
          <w:bCs/>
        </w:rPr>
      </w:pPr>
    </w:p>
    <w:p w14:paraId="5F9A4B3C" w14:textId="568473DF" w:rsidR="006C3C42" w:rsidRPr="006C3C42" w:rsidRDefault="6F950DB8" w:rsidP="1FD293AA">
      <w:r>
        <w:rPr>
          <w:b/>
          <w:bCs/>
        </w:rPr>
        <w:t>Irreġistra u ibda n-networking</w:t>
      </w:r>
    </w:p>
    <w:p w14:paraId="669599F6" w14:textId="54EA2F99" w:rsidR="006C3C42" w:rsidRPr="006C3C42" w:rsidRDefault="793AE0D0">
      <w:r>
        <w:t>Barra milli jipprovdu forum għall-iskambju ta’ ideat, esperjenzi u l-aqwa prattiċi relatati mad-</w:t>
      </w:r>
      <w:r>
        <w:rPr>
          <w:i/>
          <w:iCs/>
        </w:rPr>
        <w:t>data</w:t>
      </w:r>
      <w:r>
        <w:t xml:space="preserve"> miftuħa u l-viżwalizzazzjoni tagħha, l-għan tal-Jiem tad-</w:t>
      </w:r>
      <w:r>
        <w:rPr>
          <w:i/>
          <w:iCs/>
        </w:rPr>
        <w:t>Data</w:t>
      </w:r>
      <w:r>
        <w:t xml:space="preserve"> Miftuħa tal-UE hu li tinħoloq rabta bejn l-amministrazzjoni pubblika, l-akkademja, is-settur pubbliku u s-soċjetà ċivili, li kollha kemm huma se jiġu rappreżentati. Barra min hekk, il-parteċipanti rreġistrati se jibbenefikaw min pjattaforma dedikata għan-networking, li se tiftaħ din il-ħarifa, intenzjonata biex tispira djalogu kreattiv qabel l-avveniment u warajh. </w:t>
      </w:r>
      <w:hyperlink r:id="rId13">
        <w:r>
          <w:rPr>
            <w:rStyle w:val="Hyperlink"/>
          </w:rPr>
          <w:t>Irreġistra għall-Jiem tad-</w:t>
        </w:r>
        <w:r>
          <w:rPr>
            <w:rStyle w:val="Hyperlink"/>
            <w:i/>
            <w:iCs/>
          </w:rPr>
          <w:t>Data</w:t>
        </w:r>
        <w:r>
          <w:rPr>
            <w:rStyle w:val="Hyperlink"/>
          </w:rPr>
          <w:t xml:space="preserve"> Miftuħa tal-UE</w:t>
        </w:r>
      </w:hyperlink>
      <w:r>
        <w:t xml:space="preserve"> u kun parti mill-Komunità tad-</w:t>
      </w:r>
      <w:r>
        <w:rPr>
          <w:i/>
          <w:iCs/>
        </w:rPr>
        <w:t>Data</w:t>
      </w:r>
      <w:r>
        <w:t xml:space="preserve"> Miftuħa tal-UE.</w:t>
      </w:r>
    </w:p>
    <w:p w14:paraId="3506F3A7" w14:textId="20FBF3C9" w:rsidR="10992D35" w:rsidRPr="00D6131A" w:rsidRDefault="10992D35" w:rsidP="10992D35">
      <w:pPr>
        <w:rPr>
          <w:b/>
          <w:bCs/>
        </w:rPr>
      </w:pPr>
    </w:p>
    <w:p w14:paraId="144051E7" w14:textId="77777777" w:rsidR="00063C65" w:rsidRPr="00063C65" w:rsidRDefault="00063C65" w:rsidP="00063C65">
      <w:pPr>
        <w:rPr>
          <w:b/>
        </w:rPr>
      </w:pPr>
      <w:r>
        <w:rPr>
          <w:b/>
        </w:rPr>
        <w:t>Segwina għal aktar informazzjoni</w:t>
      </w:r>
    </w:p>
    <w:p w14:paraId="5605F32D" w14:textId="70D80CBC" w:rsidR="006C3C42" w:rsidRPr="006C3C42" w:rsidRDefault="7B28F7F8" w:rsidP="00063C65">
      <w:r>
        <w:t>Il-Jiem tad-</w:t>
      </w:r>
      <w:r>
        <w:rPr>
          <w:i/>
          <w:iCs/>
        </w:rPr>
        <w:t>Data</w:t>
      </w:r>
      <w:r>
        <w:t xml:space="preserve"> Miftuħa tal-UE huma organizzati mill-Uffiċċju tal-Pubblikazzjonijiet tal-Unjoni Ewropea bis-sapport tal-programm tal-ISA</w:t>
      </w:r>
      <w:r>
        <w:rPr>
          <w:vertAlign w:val="superscript"/>
        </w:rPr>
        <w:t>2</w:t>
      </w:r>
      <w:r>
        <w:t xml:space="preserve"> tal-Kummissjoni Ewropea. Aktar informazzjoni hi </w:t>
      </w:r>
      <w:r>
        <w:lastRenderedPageBreak/>
        <w:t>disponibbli fuq is-</w:t>
      </w:r>
      <w:hyperlink r:id="rId14">
        <w:r>
          <w:rPr>
            <w:rStyle w:val="Hyperlink"/>
            <w:u w:val="none"/>
          </w:rPr>
          <w:t>sit web tal-Jiem tad-</w:t>
        </w:r>
        <w:r>
          <w:rPr>
            <w:rStyle w:val="Hyperlink"/>
            <w:i/>
            <w:iCs/>
            <w:u w:val="none"/>
          </w:rPr>
          <w:t>Data</w:t>
        </w:r>
        <w:r>
          <w:rPr>
            <w:rStyle w:val="Hyperlink"/>
            <w:u w:val="none"/>
          </w:rPr>
          <w:t xml:space="preserve"> Miftuħa tal-UE</w:t>
        </w:r>
        <w:r w:rsidR="00D6131A">
          <w:rPr>
            <w:rStyle w:val="Hyperlink"/>
            <w:u w:val="none"/>
          </w:rPr>
          <w:t>,</w:t>
        </w:r>
      </w:hyperlink>
      <w:r w:rsidR="00D6131A">
        <w:rPr>
          <w:rStyle w:val="Hyperlink"/>
          <w:u w:val="none"/>
        </w:rPr>
        <w:t xml:space="preserve"> </w:t>
      </w:r>
      <w:r>
        <w:t>jew tista’ issegwi l-aġġornamenti fuq it-Twitter</w:t>
      </w:r>
      <w:hyperlink r:id="rId15" w:history="1">
        <w:r>
          <w:rPr>
            <w:rStyle w:val="Hyperlink"/>
          </w:rPr>
          <w:t>@</w:t>
        </w:r>
        <w:r>
          <w:rPr>
            <w:rStyle w:val="Hyperlink"/>
            <w:u w:val="none"/>
          </w:rPr>
          <w:t>EU_open</w:t>
        </w:r>
        <w:r>
          <w:rPr>
            <w:rStyle w:val="Hyperlink"/>
            <w:i/>
            <w:iCs/>
            <w:u w:val="none"/>
          </w:rPr>
          <w:t>data</w:t>
        </w:r>
      </w:hyperlink>
      <w:r>
        <w:t xml:space="preserve"> bil-hashtag #EUopen</w:t>
      </w:r>
      <w:r>
        <w:rPr>
          <w:i/>
          <w:iCs/>
        </w:rPr>
        <w:t>data</w:t>
      </w:r>
      <w:r>
        <w:t>days.</w:t>
      </w:r>
    </w:p>
    <w:sectPr w:rsidR="006C3C42" w:rsidRPr="006C3C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AC06" w14:textId="77777777" w:rsidR="009E2F45" w:rsidRDefault="009E2F45" w:rsidP="00360B29">
      <w:pPr>
        <w:spacing w:after="0" w:line="240" w:lineRule="auto"/>
      </w:pPr>
      <w:r>
        <w:separator/>
      </w:r>
    </w:p>
  </w:endnote>
  <w:endnote w:type="continuationSeparator" w:id="0">
    <w:p w14:paraId="46E99CA8" w14:textId="77777777" w:rsidR="009E2F45" w:rsidRDefault="009E2F45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DCBB" w14:textId="77777777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5AC856" w14:textId="77777777" w:rsidR="00360B29" w:rsidRDefault="00360B29" w:rsidP="00360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D237" w14:textId="58DA9EB9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13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20CD3" w14:textId="77777777" w:rsidR="00360B29" w:rsidRDefault="00360B29" w:rsidP="00360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A381" w14:textId="77777777" w:rsidR="00360B29" w:rsidRDefault="0036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302" w14:textId="77777777" w:rsidR="009E2F45" w:rsidRDefault="009E2F45" w:rsidP="00360B29">
      <w:pPr>
        <w:spacing w:after="0" w:line="240" w:lineRule="auto"/>
      </w:pPr>
      <w:r>
        <w:separator/>
      </w:r>
    </w:p>
  </w:footnote>
  <w:footnote w:type="continuationSeparator" w:id="0">
    <w:p w14:paraId="345B3B3E" w14:textId="77777777" w:rsidR="009E2F45" w:rsidRDefault="009E2F45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E566" w14:textId="77777777" w:rsidR="00360B29" w:rsidRDefault="00360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23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611" w14:textId="77777777" w:rsidR="00360B29" w:rsidRDefault="0036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6131A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c.ec.europa.eu/ew/register/dgscic/ODD_21/e/lk/g/29270/k/" TargetMode="External"/><Relationship Id="rId18" Type="http://schemas.openxmlformats.org/officeDocument/2006/relationships/footer" Target="footer1.xml"/><Relationship Id="R3d460e546e144c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op.europa.eu/en/web/eudatathon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.europa.eu/en/web/euopendatadays/program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U_open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.europa.eu/en/web/euopendatadays" TargetMode="External"/><Relationship Id="rId19" Type="http://schemas.openxmlformats.org/officeDocument/2006/relationships/footer" Target="footer2.xml"/><Relationship Id="R4d6f0ecc43774ac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.europa.eu/euopendatada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3CC562E5-ACEC-403C-8158-4270092E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2566</Characters>
  <Application>Microsoft Office Word</Application>
  <DocSecurity>0</DocSecurity>
  <Lines>40</Lines>
  <Paragraphs>11</Paragraphs>
  <ScaleCrop>false</ScaleCrop>
  <Company>European Commission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FARRUGIA Melanie (DGT)</cp:lastModifiedBy>
  <cp:revision>7</cp:revision>
  <dcterms:created xsi:type="dcterms:W3CDTF">2021-07-30T13:40:00Z</dcterms:created>
  <dcterms:modified xsi:type="dcterms:W3CDTF">2021-10-15T14:12:00Z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