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 xml:space="preserve">#EUDatathon 2022.</w:t>
      </w:r>
      <w:r>
        <w:rPr>
          <w:rStyle w:val="normaltextrun"/>
          <w:b/>
          <w:bCs/>
        </w:rPr>
        <w:t xml:space="preserve"> </w:t>
      </w:r>
      <w:r>
        <w:rPr>
          <w:rStyle w:val="normaltextrun"/>
          <w:b/>
          <w:bCs/>
        </w:rPr>
        <w:t xml:space="preserve">Tegu Jūsų kūrybiškumas keičia ES ir pasaulį</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Vasario 7 d. prasidėjo šių metų atvirųjų duomenų konkursas „EU Datathon“.</w:t>
      </w:r>
      <w:r>
        <w:rPr>
          <w:rStyle w:val="normaltextrun"/>
        </w:rPr>
        <w:t xml:space="preserve"> </w:t>
      </w:r>
      <w:r>
        <w:rPr>
          <w:rStyle w:val="normaltextrun"/>
        </w:rPr>
        <w:t xml:space="preserve">Tai galimybė atvirųjų duomenų entuziastams ir taikomųjų programų kūrėjams iš viso pasaulio atskleisti atvirųjų duomenų potencialą, tarptautiniu mastu pademonstruoti savo novatoriškas idėjas ir laimėti savo dalį iš viso prizinio fondo, kurį sudaro 200 000 EUR, ir publikos apdovanojimą.</w:t>
      </w:r>
    </w:p>
    <w:p w14:paraId="599D7D46" w14:textId="77777777" w:rsidR="009008A3" w:rsidRPr="0028539C" w:rsidRDefault="009008A3" w:rsidP="00203617">
      <w:pPr>
        <w:pStyle w:val="paragraph"/>
        <w:spacing w:before="0" w:beforeAutospacing="0" w:after="0" w:afterAutospacing="0"/>
        <w:jc w:val="both"/>
        <w:textAlignment w:val="baseline"/>
        <w:rPr>
          <w:rFonts w:ascii="Segoe UI" w:hAnsi="Segoe UI" w:cs="Segoe UI"/>
          <w:sz w:val="18"/>
          <w:szCs w:val="18"/>
          <w:lang w:val="en-I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 xml:space="preserve">Kaip dalyvauti?</w:t>
      </w:r>
      <w:r>
        <w:rPr>
          <w:rStyle w:val="normaltextrun"/>
        </w:rPr>
        <w:t xml:space="preserve"> </w:t>
      </w:r>
      <w:r>
        <w:rPr>
          <w:rStyle w:val="normaltextrun"/>
        </w:rPr>
        <w:t xml:space="preserve">Paprastai!</w:t>
      </w:r>
      <w:r>
        <w:rPr>
          <w:rStyle w:val="normaltextrun"/>
        </w:rPr>
        <w:t xml:space="preserve"> </w:t>
      </w:r>
      <w:r>
        <w:rPr>
          <w:rStyle w:val="normaltextrun"/>
        </w:rPr>
        <w:t xml:space="preserve">Pasiūlykite idėją dėl taikomosios programos, kuri susietų ir naudotų atvirųjų duomenų rinkinius, ir kuria būtų siekiama spręsti problemas vienoje iš keturių teminių kategorijų:</w:t>
      </w:r>
    </w:p>
    <w:p w14:paraId="4F911B8C"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1 kategorija.</w:t>
      </w:r>
      <w:r>
        <w:rPr>
          <w:rStyle w:val="normaltextrun"/>
        </w:rPr>
        <w:t xml:space="preserve"> </w:t>
      </w:r>
      <w:r>
        <w:rPr>
          <w:rStyle w:val="normaltextrun"/>
        </w:rPr>
        <w:t xml:space="preserve">Europos žaliasis kursas;</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2 kategorija.</w:t>
      </w:r>
      <w:r>
        <w:rPr>
          <w:rStyle w:val="normaltextrun"/>
        </w:rPr>
        <w:t xml:space="preserve"> </w:t>
      </w:r>
      <w:hyperlink r:id="rId8" w:tgtFrame="_blank" w:history="1">
        <w:r>
          <w:rPr>
            <w:rStyle w:val="normaltextrun"/>
          </w:rPr>
          <w:t xml:space="preserve">Viešųjų pirkimų</w:t>
        </w:r>
      </w:hyperlink>
      <w:r>
        <w:rPr>
          <w:rStyle w:val="normaltextrun"/>
        </w:rPr>
        <w:t xml:space="preserve"> skaidrumas</w:t>
      </w:r>
      <w:r>
        <w:t xml:space="preserve">;</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3 kategorija.</w:t>
      </w:r>
      <w:r>
        <w:rPr>
          <w:rStyle w:val="normaltextrun"/>
        </w:rPr>
        <w:t xml:space="preserve"> </w:t>
      </w:r>
      <w:r>
        <w:rPr>
          <w:rStyle w:val="normaltextrun"/>
        </w:rPr>
        <w:t xml:space="preserve">ES viešųjų pirkimų galimybės jaunimui;</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4 kategorija.</w:t>
      </w:r>
      <w:r>
        <w:rPr>
          <w:rStyle w:val="normaltextrun"/>
        </w:rPr>
        <w:t xml:space="preserve"> </w:t>
      </w:r>
      <w:r>
        <w:rPr>
          <w:rStyle w:val="normaltextrun"/>
        </w:rPr>
        <w:t xml:space="preserve">Prie skaitmeninio amžiaus prisitaikiusi Europa.</w:t>
      </w:r>
      <w:r>
        <w:rPr>
          <w:rStyle w:val="eop"/>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Pagrindinė sėkmingo paraiškos pateikimo sąlyga yra ta, kad bent vienas duomenų rinkinys, naudotas rengiant jūsų paraišką, būtų gautas iš tūkstančių duomenų rinkinių, pateiktų</w:t>
      </w:r>
      <w:r>
        <w:t xml:space="preserve"> </w:t>
      </w:r>
      <w:hyperlink r:id="rId9">
        <w:r>
          <w:rPr>
            <w:rStyle w:val="Hyperlink"/>
          </w:rPr>
          <w:t xml:space="preserve">data.europa.eu</w:t>
        </w:r>
      </w:hyperlink>
      <w:r>
        <w:rPr>
          <w:rStyle w:val="normaltextrun"/>
        </w:rPr>
        <w:t xml:space="preserve">.</w:t>
      </w:r>
      <w:r>
        <w:rPr>
          <w:rStyle w:val="normaltextrun"/>
        </w:rPr>
        <w:t xml:space="preserve"> </w:t>
      </w:r>
      <w:r>
        <w:rPr>
          <w:rStyle w:val="normaltextrun"/>
        </w:rPr>
        <w:t xml:space="preserve">Jei pasirinkote 2 arba 3 teminę kategoriją, turite naudoti bent vieną duomenų rinkinį, kurį skelbia „EU Tenders Electronic Daily“ (TED).</w:t>
      </w:r>
    </w:p>
    <w:p w14:paraId="737C5711" w14:textId="77777777" w:rsidR="00850238" w:rsidRPr="00517DB7" w:rsidRDefault="00850238" w:rsidP="25371347">
      <w:pPr>
        <w:pStyle w:val="paragraph"/>
        <w:spacing w:before="0" w:beforeAutospacing="0" w:after="0" w:afterAutospacing="0"/>
        <w:jc w:val="both"/>
        <w:textAlignment w:val="baseline"/>
        <w:rPr>
          <w:rStyle w:val="normaltextrun"/>
          <w:lang w:val="en-GB"/>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Be to, tikimasi, kad jūsų paraiška </w:t>
      </w:r>
      <w:r>
        <w:rPr>
          <w:rStyle w:val="normaltextrun"/>
          <w:color w:val="000000" w:themeColor="text1"/>
        </w:rPr>
        <w:t xml:space="preserve">novatoriškai prisidės prie svarbių Europos Sąjungos tikslų įgyvendinimo ir parodys konkrečių verslo modelių ar socialinių įmonių galimybes.</w:t>
      </w:r>
      <w:r>
        <w:rPr>
          <w:rStyle w:val="normaltextrun"/>
          <w:color w:val="000000" w:themeColor="text1"/>
        </w:rPr>
        <w:t xml:space="preserve"> </w:t>
      </w:r>
      <w:r>
        <w:rPr>
          <w:rStyle w:val="normaltextrun"/>
          <w:color w:val="000000" w:themeColor="text1"/>
        </w:rPr>
        <w:t xml:space="preserve">Įkvėpimui pasisemti, susipažinkite su ankstesnių konkursų laureatų idėjomis.</w:t>
      </w:r>
      <w:r>
        <w:rPr>
          <w:rStyle w:val="normaltextrun"/>
          <w:color w:val="000000" w:themeColor="text1"/>
        </w:rPr>
        <w:t xml:space="preserve"> </w:t>
      </w:r>
      <w:r>
        <w:rPr>
          <w:rStyle w:val="normaltextrun"/>
          <w:color w:val="000000" w:themeColor="text1"/>
        </w:rPr>
        <w:t xml:space="preserve">2020 m. Jungtinės Karalystės komanda „FinLine“ pelnė vertinimo komisijos ir visuomenės simpatijas pristatę taikomąją programą, kuria siekiama mažosioms ir vidutinėms įmonėms teikti nemokamas individualizuotas konsultacijas dėl tinkamų dotacijų ir investavimo galimybių, siekiant įveikti COVID-19 pandemijos sukeltus sunkumus.</w:t>
      </w:r>
      <w:r>
        <w:rPr>
          <w:rStyle w:val="normaltextrun"/>
          <w:color w:val="000000" w:themeColor="text1"/>
        </w:rPr>
        <w:t xml:space="preserve"> </w:t>
      </w:r>
      <w:r>
        <w:rPr>
          <w:rStyle w:val="normaltextrun"/>
          <w:color w:val="000000" w:themeColor="text1"/>
        </w:rPr>
        <w:t xml:space="preserve">Ši paraiška užėmė pirmąją vietą kategorijoje „Žmonėms tarnaujanti ekonomika“ ir gavo publikos apdovanojimą.</w:t>
      </w:r>
      <w:r>
        <w:rPr>
          <w:rStyle w:val="normaltextrun"/>
          <w:color w:val="000000" w:themeColor="text1"/>
        </w:rPr>
        <w:t xml:space="preserve"> </w:t>
      </w:r>
      <w:r>
        <w:rPr>
          <w:rStyle w:val="normaltextrun"/>
          <w:color w:val="000000" w:themeColor="text1"/>
        </w:rPr>
        <w:t xml:space="preserve">2021 m. Italijos „ITER IDEA“ komanda tokios dvigubos sėkmės sulaukė už paraišką, kuria sudaromos palankesnės sąlygos moterų profesiniam judumui Europoje.</w:t>
      </w:r>
      <w:r>
        <w:rPr>
          <w:rStyle w:val="normaltextrun"/>
          <w:color w:val="000000" w:themeColor="text1"/>
        </w:rPr>
        <w:t xml:space="preserve"> </w:t>
      </w:r>
      <w:r>
        <w:rPr>
          <w:rStyle w:val="normaltextrun"/>
          <w:color w:val="000000" w:themeColor="text1"/>
        </w:rPr>
        <w:t xml:space="preserve">Daugiau informacijos apie visas laimėjusias idėjas rasite </w:t>
      </w:r>
      <w:hyperlink r:id="rId10">
        <w:r>
          <w:rPr>
            <w:rStyle w:val="Hyperlink"/>
          </w:rPr>
          <w:t xml:space="preserve">„EU Datathon“ svetainėje</w:t>
        </w:r>
      </w:hyperlink>
      <w:r>
        <w:rPr>
          <w:rStyle w:val="normaltextrun"/>
          <w:color w:val="000000" w:themeColor="text1"/>
        </w:rPr>
        <w:t xml:space="preserve">.</w:t>
      </w:r>
    </w:p>
    <w:p w14:paraId="362ACD70" w14:textId="5B6B1CAD" w:rsidR="3A835DE6" w:rsidRDefault="3A835DE6" w:rsidP="3A835DE6">
      <w:pPr>
        <w:pStyle w:val="paragraph"/>
        <w:spacing w:before="0" w:beforeAutospacing="0" w:after="0" w:afterAutospacing="0"/>
        <w:jc w:val="both"/>
        <w:rPr>
          <w:rStyle w:val="normaltextrun"/>
          <w:color w:val="000000" w:themeColor="text1"/>
          <w:lang w:val="en-GB"/>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 xml:space="preserve">Į šių metų galutinį finalininkų sąrašą atrinktoms komandoms bus pasiūlyta parama projektavimo etape ir pasibaigus konkursui.</w:t>
      </w:r>
      <w:r>
        <w:rPr>
          <w:rStyle w:val="normaltextrun"/>
          <w:color w:val="000000" w:themeColor="text1"/>
        </w:rPr>
        <w:t xml:space="preserve"> </w:t>
      </w:r>
      <w:r>
        <w:rPr>
          <w:rStyle w:val="normaltextrun"/>
          <w:color w:val="000000" w:themeColor="text1"/>
        </w:rPr>
        <w:t xml:space="preserve">Su finalininkais bus bendradarbiaujama kviečiant juos į atvirųjų duomenų renginius ir internetinius seminarus, kuriuose komandos galės susitikti su duomenų teikėjais, papildomai viešinti savo projektus ir kurti tinklus.</w:t>
      </w:r>
    </w:p>
    <w:p w14:paraId="1D006D0B" w14:textId="77777777" w:rsidR="00CB5D1C" w:rsidRPr="00972893" w:rsidRDefault="00CB5D1C" w:rsidP="00CB5D1C">
      <w:pPr>
        <w:pStyle w:val="paragraph"/>
        <w:spacing w:before="0" w:beforeAutospacing="0" w:after="0" w:afterAutospacing="0"/>
        <w:jc w:val="both"/>
        <w:textAlignment w:val="baseline"/>
        <w:rPr>
          <w:lang w:val="en-GB"/>
        </w:rPr>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Terminas savo idėjai pateikti – </w:t>
      </w:r>
      <w:r>
        <w:rPr>
          <w:rStyle w:val="normaltextrun"/>
          <w:b/>
          <w:bCs/>
        </w:rPr>
        <w:t xml:space="preserve">kovo 31 d</w:t>
      </w:r>
      <w:r>
        <w:rPr>
          <w:rStyle w:val="normaltextrun"/>
        </w:rPr>
        <w:t xml:space="preserve">.</w:t>
      </w:r>
      <w:r>
        <w:rPr>
          <w:rStyle w:val="normaltextrun"/>
        </w:rPr>
        <w:t xml:space="preserve"> </w:t>
      </w:r>
      <w:r>
        <w:rPr>
          <w:rStyle w:val="normaltextrun"/>
          <w:color w:val="000000"/>
          <w:shd w:val="clear" w:color="auto" w:fill="FFFFFF"/>
        </w:rPr>
        <w:t xml:space="preserve">Daugiau</w:t>
      </w:r>
      <w:r>
        <w:rPr>
          <w:color w:val="000000"/>
          <w:rStyle w:val="normaltextrun"/>
          <w:shd w:val="clear" w:color="auto" w:fill="FFFFFF"/>
        </w:rPr>
        <w:t xml:space="preserve"> informacijos rasite </w:t>
      </w:r>
      <w:hyperlink r:id="rId11" w:anchor="rules" w:history="1">
        <w:r>
          <w:rPr>
            <w:rStyle w:val="Hyperlink"/>
            <w:shd w:val="clear" w:color="auto" w:fill="FFFFFF"/>
          </w:rPr>
          <w:t xml:space="preserve">konkurso taisyklėse</w:t>
        </w:r>
      </w:hyperlink>
      <w:r>
        <w:rPr>
          <w:rStyle w:val="normaltextrun"/>
          <w:color w:val="000000"/>
          <w:shd w:val="clear" w:color="auto" w:fill="FFFFFF"/>
        </w:rPr>
        <w:t xml:space="preserve">.</w:t>
      </w:r>
    </w:p>
    <w:p w14:paraId="7CDD9526" w14:textId="77777777" w:rsidR="0028539C" w:rsidRDefault="0028539C" w:rsidP="00203617">
      <w:pPr>
        <w:pStyle w:val="paragraph"/>
        <w:spacing w:before="0" w:beforeAutospacing="0" w:after="0" w:afterAutospacing="0"/>
        <w:jc w:val="both"/>
        <w:textAlignment w:val="baseline"/>
        <w:rPr>
          <w:rStyle w:val="normaltextrun"/>
          <w:color w:val="000000"/>
          <w:shd w:val="clear" w:color="auto" w:fill="FFFFFF"/>
          <w:lang w:val="en-IE"/>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rPr>
          <w:rStyle w:val="normaltextrun"/>
        </w:rPr>
        <w:t xml:space="preserve">„EU Datathon 2022“ rengia </w:t>
      </w:r>
      <w:r>
        <w:rPr>
          <w:rStyle w:val="normaltextrun"/>
          <w:i/>
          <w:iCs/>
        </w:rPr>
        <w:t xml:space="preserve">Europos Sąjungos leidinių biuras</w:t>
      </w:r>
      <w:r>
        <w:rPr>
          <w:rStyle w:val="normaltextrun"/>
        </w:rPr>
        <w:t xml:space="preserve">. Konkursu prisidedama prie 2022-ųjų – </w:t>
      </w:r>
      <w:hyperlink r:id="rId12" w:history="1">
        <w:r>
          <w:rPr>
            <w:rStyle w:val="Hyperlink"/>
          </w:rPr>
          <w:t xml:space="preserve">Europos jaunimo metų</w:t>
        </w:r>
      </w:hyperlink>
      <w:r>
        <w:rPr>
          <w:rStyle w:val="normaltextrun"/>
        </w:rPr>
        <w:t xml:space="preserve"> – renginių ir veiklos, skirtų jaunimui visoje Europoje.</w:t>
      </w:r>
    </w:p>
    <w:p w14:paraId="2AAC47D3" w14:textId="77777777" w:rsidR="00154B32" w:rsidRPr="003348A3" w:rsidRDefault="00154B32" w:rsidP="003348A3">
      <w:pPr>
        <w:pStyle w:val="paragraph"/>
        <w:spacing w:before="0" w:beforeAutospacing="0" w:after="0" w:afterAutospacing="0"/>
        <w:jc w:val="both"/>
        <w:textAlignment w:val="baseline"/>
        <w:rPr>
          <w:lang w:val="en-GB"/>
        </w:rPr>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Norėdami sužinoti daugiau, apsilankykite </w:t>
      </w:r>
      <w:hyperlink r:id="rId13">
        <w:r>
          <w:rPr>
            <w:rStyle w:val="normaltextrun"/>
            <w:color w:val="0000FF"/>
          </w:rPr>
          <w:t xml:space="preserve">„EU Datathon“ svetainėje</w:t>
        </w:r>
      </w:hyperlink>
      <w:r>
        <w:rPr>
          <w:rStyle w:val="normaltextrun"/>
          <w:color w:val="000000" w:themeColor="text1"/>
        </w:rPr>
        <w:t xml:space="preserve"> ir </w:t>
      </w:r>
      <w:hyperlink r:id="rId14" w:history="1">
        <w:hyperlink r:id="rId15" w:history="1">
          <w:r>
            <w:rPr>
              <w:rStyle w:val="normaltextrun"/>
              <w:color w:val="000000" w:themeColor="text1"/>
            </w:rPr>
            <w:t xml:space="preserve">sekite mus </w:t>
          </w:r>
        </w:hyperlink>
        <w:r>
          <w:t xml:space="preserve">tinkle</w:t>
        </w:r>
      </w:hyperlink>
      <w:r>
        <w:t xml:space="preserve"> </w:t>
      </w:r>
      <w:hyperlink r:id="rId16" w:history="1">
        <w:r>
          <w:rPr>
            <w:rStyle w:val="Hyperlink"/>
          </w:rPr>
          <w:t xml:space="preserve">Twitter</w:t>
        </w:r>
      </w:hyperlink>
      <w:r>
        <w:t xml:space="preserve">,</w:t>
      </w:r>
      <w:r>
        <w:rPr>
          <w:rStyle w:val="normaltextrun"/>
          <w:color w:val="000000" w:themeColor="text1"/>
        </w:rPr>
        <w:t xml:space="preserve"> </w:t>
      </w:r>
      <w:hyperlink r:id="rId17" w:history="1">
        <w:r>
          <w:rPr>
            <w:rStyle w:val="Hyperlink"/>
          </w:rPr>
          <w:t xml:space="preserve">Facebook</w:t>
        </w:r>
      </w:hyperlink>
      <w:r>
        <w:t xml:space="preserve"> paskyroje</w:t>
      </w:r>
      <w:r>
        <w:rPr>
          <w:rStyle w:val="normaltextrun"/>
          <w:color w:val="000000" w:themeColor="text1"/>
        </w:rPr>
        <w:t xml:space="preserve"> ir</w:t>
      </w:r>
      <w:r>
        <w:rPr>
          <w:rStyle w:val="normaltextrun"/>
          <w:color w:val="000000" w:themeColor="text1"/>
        </w:rPr>
        <w:t xml:space="preserve"> </w:t>
      </w:r>
    </w:p>
    <w:p w14:paraId="7F988F93" w14:textId="6F5C76A7" w:rsidR="00203617" w:rsidRDefault="005E2767" w:rsidP="44E29CE4">
      <w:pPr>
        <w:pStyle w:val="paragraph"/>
        <w:spacing w:before="0" w:beforeAutospacing="0" w:after="0" w:afterAutospacing="0"/>
        <w:textAlignment w:val="baseline"/>
        <w:rPr>
          <w:rStyle w:val="eop"/>
          <w:color w:val="000000" w:themeColor="text1"/>
        </w:rPr>
      </w:pPr>
      <w:r>
        <w:t xml:space="preserve">tinkle </w:t>
      </w:r>
      <w:hyperlink r:id="rId18" w:history="1">
        <w:r>
          <w:rPr>
            <w:rStyle w:val="Hyperlink"/>
          </w:rPr>
          <w:t xml:space="preserve">LinkedIn</w:t>
        </w:r>
      </w:hyperlink>
      <w:r>
        <w:rPr>
          <w:rStyle w:val="normaltextrun"/>
          <w:color w:val="000000" w:themeColor="text1"/>
          <w:sz w:val="22"/>
          <w:szCs w:val="22"/>
        </w:rPr>
        <w:t xml:space="preserve"> su </w:t>
      </w:r>
      <w:r>
        <w:rPr>
          <w:rStyle w:val="normaltextrun"/>
          <w:color w:val="000000" w:themeColor="text1"/>
        </w:rPr>
        <w:t xml:space="preserve">saitažodžiu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ec.europa.eu/info/strategy/priorities-2019-2024/economy-works-people_lt" TargetMode="External"/><Relationship Id="rId13" Type="http://schemas.openxmlformats.org/officeDocument/2006/relationships/hyperlink" Target="https://op.europa.eu/en/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lt"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en/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lt"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A933B8DB-399D-4767-A0D2-79EA0976E8EE}"/>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2953</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MARCO BARDELLA Nuria (DGT)</cp:lastModifiedBy>
  <cp:revision>2</cp:revision>
  <dcterms:created xsi:type="dcterms:W3CDTF">2022-02-09T09:28:00Z</dcterms:created>
  <dcterms:modified xsi:type="dcterms:W3CDTF">2022-02-09T09:28:00Z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