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7E1D2A7C" w:rsidR="00EC7340" w:rsidRPr="0083627A" w:rsidRDefault="007E3B31" w:rsidP="0083627A">
      <w:pPr>
        <w:pStyle w:val="Heading2"/>
        <w:rPr>
          <w:color w:val="auto"/>
        </w:rPr>
      </w:pPr>
      <w:r w:rsidRPr="0083627A">
        <w:rPr>
          <w:color w:val="auto"/>
        </w:rPr>
        <w:t xml:space="preserve">Câștigătorii EU Datathon 2019 sunt echipele din </w:t>
      </w:r>
      <w:r w:rsidR="0083627A" w:rsidRPr="0083627A">
        <w:rPr>
          <w:color w:val="auto"/>
        </w:rPr>
        <w:t xml:space="preserve"> </w:t>
      </w:r>
      <w:r w:rsidRPr="0083627A">
        <w:rPr>
          <w:color w:val="auto"/>
        </w:rPr>
        <w:t>Austria, Italia</w:t>
      </w:r>
      <w:r w:rsidR="0083627A" w:rsidRPr="0083627A">
        <w:rPr>
          <w:color w:val="auto"/>
        </w:rPr>
        <w:t xml:space="preserve"> </w:t>
      </w:r>
      <w:r w:rsidRPr="0083627A">
        <w:rPr>
          <w:color w:val="auto"/>
        </w:rPr>
        <w:t xml:space="preserve">și Grecia 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La 13 iunie 2019, la Bruxelles, a avut loc finala celei de-a 3-a ediții a EU Datathon, la care au participat 12 echipe care și-au pus în joc ideile și competențele în trei probe. </w:t>
      </w:r>
    </w:p>
    <w:p w14:paraId="73E16318" w14:textId="0DD66708" w:rsidR="00AD0FCE" w:rsidRPr="00116238" w:rsidRDefault="00AE7F3A" w:rsidP="00EC7340">
      <w:r>
        <w:t>Proba pentru cei 12 finaliști (selectați din 99 de participanți din toată Europa) a constat în dezvoltarea de aplicații care oferă noi servicii sau cunoștințe, utilizând datele puse la dispoziție de instituțiile UE. Concursul a fost organizat de Oficiul pentru Publicații al UE, în parteneriat cu Președinția română a Consiliului UE.</w:t>
      </w:r>
    </w:p>
    <w:p w14:paraId="0E7257F8" w14:textId="753B4517" w:rsidR="00EC7340" w:rsidRPr="00116238" w:rsidRDefault="00987B83" w:rsidP="00EC7340">
      <w:r>
        <w:t>Echipa câștigătoare la prima probă („Idei inovatoare prin date deschise la nivelul UE”) este:</w:t>
      </w:r>
    </w:p>
    <w:p w14:paraId="7BBCCA45" w14:textId="0995586A" w:rsidR="00BB2774" w:rsidRPr="00116238" w:rsidRDefault="00BB2774" w:rsidP="0083627A">
      <w:pPr>
        <w:ind w:left="720"/>
      </w:pPr>
      <w:r>
        <w:t>„</w:t>
      </w:r>
      <w:r w:rsidRPr="0083627A">
        <w:t xml:space="preserve">The </w:t>
      </w:r>
      <w:proofErr w:type="spellStart"/>
      <w:r w:rsidRPr="0083627A">
        <w:t>Smartfiles</w:t>
      </w:r>
      <w:proofErr w:type="spellEnd"/>
      <w:r w:rsidRPr="0083627A">
        <w:t xml:space="preserve"> </w:t>
      </w:r>
      <w:proofErr w:type="spellStart"/>
      <w:r w:rsidRPr="0083627A">
        <w:t>Network</w:t>
      </w:r>
      <w:proofErr w:type="spellEnd"/>
      <w:r>
        <w:t>” (Austria) a creat un mecanism care facilitează accesul la hotărârile judecătorești ale UE și ale instanțelor naționale din orice fișier PDF, ajutându-i pe cetățeni să înțeleagă evoluția jurisprudenței și gradul său de interconectare.</w:t>
      </w:r>
    </w:p>
    <w:p w14:paraId="53A571AD" w14:textId="20B065CA" w:rsidR="00EC7340" w:rsidRPr="00116238" w:rsidRDefault="006354F5" w:rsidP="00EC7340">
      <w:r>
        <w:t xml:space="preserve">Echipa câștigătoare la cea de-a </w:t>
      </w:r>
      <w:r>
        <w:rPr>
          <w:color w:val="70AD47" w:themeColor="accent6"/>
        </w:rPr>
        <w:t xml:space="preserve"> </w:t>
      </w:r>
      <w:r>
        <w:t>doua probă („Noi perspective asupra economiei și finanțelor”) este:</w:t>
      </w:r>
    </w:p>
    <w:p w14:paraId="74AD8426" w14:textId="256251E6" w:rsidR="00295A22" w:rsidRPr="00116238" w:rsidRDefault="0083627A" w:rsidP="0083627A">
      <w:pPr>
        <w:ind w:left="720"/>
      </w:pPr>
      <w:r>
        <w:t xml:space="preserve"> </w:t>
      </w:r>
      <w:r w:rsidR="004067A0">
        <w:t>„</w:t>
      </w:r>
      <w:proofErr w:type="spellStart"/>
      <w:r w:rsidR="004067A0" w:rsidRPr="0083627A">
        <w:t>EconCartography</w:t>
      </w:r>
      <w:proofErr w:type="spellEnd"/>
      <w:r w:rsidR="004067A0" w:rsidRPr="0083627A">
        <w:t xml:space="preserve">: Economic </w:t>
      </w:r>
      <w:proofErr w:type="spellStart"/>
      <w:r w:rsidR="004067A0" w:rsidRPr="0083627A">
        <w:t>Cartography</w:t>
      </w:r>
      <w:proofErr w:type="spellEnd"/>
      <w:r w:rsidR="004067A0" w:rsidRPr="0083627A">
        <w:t xml:space="preserve"> for the European Union</w:t>
      </w:r>
      <w:r w:rsidR="004067A0">
        <w:t>”</w:t>
      </w:r>
      <w:r w:rsidR="004067A0">
        <w:rPr>
          <w:color w:val="FF0000"/>
        </w:rPr>
        <w:t xml:space="preserve"> </w:t>
      </w:r>
      <w:r w:rsidR="004067A0">
        <w:t>(Italia): această echipă oferă vizualizări intuitive și interactive pentru a explora peisajul complex al economiei UE.</w:t>
      </w:r>
    </w:p>
    <w:p w14:paraId="798A2A86" w14:textId="11B840C8" w:rsidR="00295A22" w:rsidRPr="00116238" w:rsidRDefault="006354F5" w:rsidP="00EC7340">
      <w:r>
        <w:lastRenderedPageBreak/>
        <w:t>Echipa câștigătoare la cea de-a treia probă („Combaterea schimbărilor climatice”) este:</w:t>
      </w:r>
    </w:p>
    <w:p w14:paraId="13F6FFF6" w14:textId="27FDDB3E" w:rsidR="00AD0FCE" w:rsidRPr="00116238" w:rsidRDefault="0083627A" w:rsidP="0083627A">
      <w:pPr>
        <w:ind w:left="720"/>
      </w:pPr>
      <w:r>
        <w:t xml:space="preserve"> </w:t>
      </w:r>
      <w:r w:rsidR="00295A22">
        <w:t>„</w:t>
      </w:r>
      <w:proofErr w:type="spellStart"/>
      <w:r w:rsidR="00295A22" w:rsidRPr="0083627A">
        <w:t>Chloe</w:t>
      </w:r>
      <w:proofErr w:type="spellEnd"/>
      <w:r w:rsidR="00295A22" w:rsidRPr="0083627A">
        <w:t xml:space="preserve"> </w:t>
      </w:r>
      <w:proofErr w:type="spellStart"/>
      <w:r w:rsidR="00295A22" w:rsidRPr="0083627A">
        <w:t>Irrigation</w:t>
      </w:r>
      <w:proofErr w:type="spellEnd"/>
      <w:r w:rsidR="00295A22" w:rsidRPr="0083627A">
        <w:t xml:space="preserve"> </w:t>
      </w:r>
      <w:proofErr w:type="spellStart"/>
      <w:r w:rsidR="00295A22" w:rsidRPr="0083627A">
        <w:t>Systems</w:t>
      </w:r>
      <w:proofErr w:type="spellEnd"/>
      <w:r w:rsidR="00295A22">
        <w:t>” (Grecia): această echipă a creat o platformă promițătoare care monitorizează și optimizează irigarea pentru a reduce risipa de apă și costurile aferente, sporind în același timp randamentul culturilor.</w:t>
      </w:r>
      <w:bookmarkStart w:id="0" w:name="_GoBack"/>
      <w:bookmarkEnd w:id="0"/>
    </w:p>
    <w:p w14:paraId="707D1543" w14:textId="3B369F80" w:rsidR="00D55651" w:rsidRPr="00116238" w:rsidRDefault="003E0568" w:rsidP="00D55651">
      <w:r>
        <w:t>Cele 3 echipe câștigătoare au primit fiecare un premiu în valoare de 15 000 EUR. Echipele situate pe locul II și III au câștigat 7 000 EUR și, respectiv, 3 000 EUR.</w:t>
      </w:r>
    </w:p>
    <w:p w14:paraId="0957604C" w14:textId="2EFC41AB" w:rsidR="00EC7340" w:rsidRPr="00116238" w:rsidRDefault="00D55651" w:rsidP="00DB005D">
      <w:r>
        <w:t xml:space="preserve">Aflați mai multe despre echipele câștigătoare și aplicațiile lor: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Partenerii EU Datathon 2019 sunt: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Comisia Europeană (direcțiile generale pentru buget, afaceri economice și financiare, energie și statistică și Centrul Comun de Cercetare)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Banca Centrală Europeană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Banca Europeană de Investiții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Fondul European de Investiții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Agenția Europeană de Mediu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Organizația Națiunilor Unite pentru Alimentație și Agricultură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3627A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ro-RO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ro-RO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362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ro-RO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ro-RO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362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3587BBC-5D61-48B6-B42C-583B51E55438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42433B38-5152-49BF-AA09-DCC9BB99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2019-06-13T16:46:00Z</dcterms:created>
  <dcterms:modified xsi:type="dcterms:W3CDTF">2019-06-13T16:46:00Z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