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344BC03A" w:rsidR="00EC7340" w:rsidRPr="00D21D50" w:rsidRDefault="007E3B31" w:rsidP="00D21D50">
      <w:pPr>
        <w:pStyle w:val="Heading2"/>
        <w:rPr>
          <w:rFonts w:eastAsia="Times New Roman" w:cs="Calibri"/>
          <w:color w:val="auto"/>
          <w:lang w:eastAsia="en-GB" w:bidi="ar-SA"/>
        </w:rPr>
      </w:pPr>
      <w:r w:rsidRPr="00D21D50">
        <w:rPr>
          <w:color w:val="auto"/>
        </w:rPr>
        <w:t>Екипи от</w:t>
      </w:r>
      <w:r w:rsidR="00D21D50" w:rsidRPr="00D21D50">
        <w:rPr>
          <w:color w:val="auto"/>
        </w:rPr>
        <w:t xml:space="preserve"> </w:t>
      </w:r>
      <w:r w:rsidRPr="00D21D50">
        <w:rPr>
          <w:color w:val="auto"/>
        </w:rPr>
        <w:t xml:space="preserve">Австрия, </w:t>
      </w:r>
      <w:r w:rsidR="00D21D50" w:rsidRPr="00D21D50">
        <w:rPr>
          <w:rFonts w:eastAsia="Times New Roman" w:cs="Calibri"/>
          <w:color w:val="auto"/>
          <w:lang w:eastAsia="en-GB" w:bidi="ar-SA"/>
        </w:rPr>
        <w:t>Италия</w:t>
      </w:r>
      <w:r w:rsidRPr="00D21D50">
        <w:rPr>
          <w:color w:val="auto"/>
        </w:rPr>
        <w:t xml:space="preserve"> и </w:t>
      </w:r>
      <w:r w:rsidR="00D21D50" w:rsidRPr="00D21D50">
        <w:rPr>
          <w:rFonts w:eastAsia="Times New Roman" w:cs="Calibri"/>
          <w:color w:val="auto"/>
          <w:lang w:eastAsia="en-GB" w:bidi="ar-SA"/>
        </w:rPr>
        <w:t>Гърция</w:t>
      </w:r>
      <w:r w:rsidRPr="00D21D50">
        <w:rPr>
          <w:color w:val="auto"/>
        </w:rPr>
        <w:t xml:space="preserve"> са победители в EU Datathon 2019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Третото издание на EU Datathon завърши на 13 юни 2019 г. с финал в Брюксел, където 12 екипа се съревноваваха с умения и идеи за победа в 3 различни категории. </w:t>
      </w:r>
    </w:p>
    <w:p w14:paraId="73E16318" w14:textId="0DD66708" w:rsidR="00AD0FCE" w:rsidRPr="00D21D50" w:rsidRDefault="00AE7F3A" w:rsidP="00EC7340">
      <w:pPr>
        <w:rPr>
          <w:lang w:val="it-IT"/>
        </w:rPr>
      </w:pPr>
      <w:r>
        <w:t>Предизвикателството за 12-те финалиста (избрани от 99 участници от цяла Европа) се състоеше в разработване на приложения, предлагащи нови услуги или информация с използване на данни, предоставени от институции</w:t>
      </w:r>
      <w:r w:rsidRPr="00D21D50">
        <w:rPr>
          <w:lang w:val="it-IT"/>
        </w:rPr>
        <w:t>те на ЕС. Конкурсът бе организиран от Службата за публикации на ЕС в партньорство с румънското председателство на Съвета на ЕС.</w:t>
      </w:r>
    </w:p>
    <w:p w14:paraId="7BBCCA45" w14:textId="612E7903" w:rsidR="00BB2774" w:rsidRPr="00D21D50" w:rsidRDefault="00987B83" w:rsidP="00D21D50">
      <w:pPr>
        <w:rPr>
          <w:lang w:val="it-IT"/>
        </w:rPr>
      </w:pPr>
      <w:r w:rsidRPr="00D21D50">
        <w:rPr>
          <w:lang w:val="it-IT"/>
        </w:rPr>
        <w:t>Екипът-победител в категория 1 — „Иновативни идеи чрез отворени данни на ЕС“ — е</w:t>
      </w:r>
      <w:r w:rsidR="00D21D50" w:rsidRPr="00D21D50">
        <w:rPr>
          <w:lang w:val="it-IT"/>
        </w:rPr>
        <w:t xml:space="preserve"> </w:t>
      </w:r>
      <w:bookmarkStart w:id="0" w:name="_GoBack"/>
      <w:bookmarkEnd w:id="0"/>
      <w:r w:rsidR="00BB2774" w:rsidRPr="00D21D50">
        <w:rPr>
          <w:lang w:val="it-IT"/>
        </w:rPr>
        <w:t xml:space="preserve">The </w:t>
      </w:r>
      <w:proofErr w:type="spellStart"/>
      <w:r w:rsidR="00BB2774" w:rsidRPr="00D21D50">
        <w:rPr>
          <w:lang w:val="it-IT"/>
        </w:rPr>
        <w:t>Smartfiles</w:t>
      </w:r>
      <w:proofErr w:type="spellEnd"/>
      <w:r w:rsidR="00BB2774" w:rsidRPr="00D21D50">
        <w:rPr>
          <w:lang w:val="it-IT"/>
        </w:rPr>
        <w:t xml:space="preserve"> Network </w:t>
      </w:r>
      <w:proofErr w:type="spellStart"/>
      <w:r w:rsidR="00BB2774" w:rsidRPr="00D21D50">
        <w:rPr>
          <w:lang w:val="it-IT"/>
        </w:rPr>
        <w:t>от</w:t>
      </w:r>
      <w:proofErr w:type="spellEnd"/>
      <w:r w:rsidR="00BB2774" w:rsidRPr="00D21D50">
        <w:rPr>
          <w:lang w:val="it-IT"/>
        </w:rPr>
        <w:t xml:space="preserve"> </w:t>
      </w:r>
      <w:proofErr w:type="spellStart"/>
      <w:r w:rsidR="00BB2774" w:rsidRPr="00D21D50">
        <w:rPr>
          <w:lang w:val="it-IT"/>
        </w:rPr>
        <w:t>Австрия</w:t>
      </w:r>
      <w:proofErr w:type="spellEnd"/>
      <w:r w:rsidR="00BB2774" w:rsidRPr="00D21D50">
        <w:rPr>
          <w:lang w:val="it-IT"/>
        </w:rPr>
        <w:t>. Този екип спечели гласовете на съдиите, като направи решенията на европейските и националните съдилища достъпни във формат PDF, благодарение на което хората могат да разберат развитието и свързаността на съдебната практика.</w:t>
      </w:r>
    </w:p>
    <w:p w14:paraId="68E638A1" w14:textId="557521E0" w:rsidR="00295A22" w:rsidRPr="00D21D50" w:rsidRDefault="006354F5" w:rsidP="00D21D50">
      <w:pPr>
        <w:rPr>
          <w:lang w:val="it-IT"/>
        </w:rPr>
      </w:pPr>
      <w:r w:rsidRPr="00D21D50">
        <w:rPr>
          <w:lang w:val="it-IT"/>
        </w:rPr>
        <w:t xml:space="preserve">Екипът-победител в категория 2 — „Нов поглед върху икономиката и </w:t>
      </w:r>
      <w:proofErr w:type="spellStart"/>
      <w:r w:rsidRPr="00D21D50">
        <w:rPr>
          <w:lang w:val="it-IT"/>
        </w:rPr>
        <w:t>финансите</w:t>
      </w:r>
      <w:proofErr w:type="spellEnd"/>
      <w:r w:rsidRPr="00D21D50">
        <w:rPr>
          <w:lang w:val="it-IT"/>
        </w:rPr>
        <w:t>“ — е</w:t>
      </w:r>
      <w:r w:rsidR="00D21D50" w:rsidRPr="00D21D50">
        <w:rPr>
          <w:lang w:val="it-IT"/>
        </w:rPr>
        <w:t xml:space="preserve"> </w:t>
      </w:r>
      <w:proofErr w:type="spellStart"/>
      <w:r w:rsidR="004067A0" w:rsidRPr="00D21D50">
        <w:rPr>
          <w:lang w:val="it-IT"/>
        </w:rPr>
        <w:t>EconCartography</w:t>
      </w:r>
      <w:proofErr w:type="spellEnd"/>
      <w:r w:rsidR="004067A0" w:rsidRPr="00D21D50">
        <w:rPr>
          <w:lang w:val="it-IT"/>
        </w:rPr>
        <w:t xml:space="preserve">: </w:t>
      </w:r>
      <w:proofErr w:type="spellStart"/>
      <w:r w:rsidR="004067A0" w:rsidRPr="00D21D50">
        <w:rPr>
          <w:lang w:val="it-IT"/>
        </w:rPr>
        <w:t>икономическа</w:t>
      </w:r>
      <w:proofErr w:type="spellEnd"/>
      <w:r w:rsidR="004067A0" w:rsidRPr="00D21D50">
        <w:rPr>
          <w:lang w:val="it-IT"/>
        </w:rPr>
        <w:t xml:space="preserve"> </w:t>
      </w:r>
      <w:proofErr w:type="spellStart"/>
      <w:r w:rsidR="004067A0" w:rsidRPr="00D21D50">
        <w:rPr>
          <w:lang w:val="it-IT"/>
        </w:rPr>
        <w:t>картография</w:t>
      </w:r>
      <w:proofErr w:type="spellEnd"/>
      <w:r w:rsidR="004067A0" w:rsidRPr="00D21D50">
        <w:rPr>
          <w:lang w:val="it-IT"/>
        </w:rPr>
        <w:t xml:space="preserve"> </w:t>
      </w:r>
      <w:proofErr w:type="spellStart"/>
      <w:r w:rsidR="004067A0" w:rsidRPr="00D21D50">
        <w:rPr>
          <w:lang w:val="it-IT"/>
        </w:rPr>
        <w:t>за</w:t>
      </w:r>
      <w:proofErr w:type="spellEnd"/>
      <w:r w:rsidR="004067A0" w:rsidRPr="00D21D50">
        <w:rPr>
          <w:lang w:val="it-IT"/>
        </w:rPr>
        <w:t xml:space="preserve"> Европейския съюз от Италия. Този екип предоставя интуитивни и интерактивни визуализации на данни, изследващи сложния пейзаж на европейската икономика.</w:t>
      </w:r>
    </w:p>
    <w:p w14:paraId="13F6FFF6" w14:textId="4FAA46AB" w:rsidR="00AD0FCE" w:rsidRPr="00D21D50" w:rsidRDefault="006354F5" w:rsidP="00D21D50">
      <w:pPr>
        <w:rPr>
          <w:lang w:val="it-IT"/>
        </w:rPr>
      </w:pPr>
      <w:r w:rsidRPr="00D21D50">
        <w:rPr>
          <w:lang w:val="it-IT"/>
        </w:rPr>
        <w:t xml:space="preserve">Екипът-победител в категория 3 — „Борба с изменението на </w:t>
      </w:r>
      <w:proofErr w:type="spellStart"/>
      <w:r w:rsidRPr="00D21D50">
        <w:rPr>
          <w:lang w:val="it-IT"/>
        </w:rPr>
        <w:t>климата</w:t>
      </w:r>
      <w:proofErr w:type="spellEnd"/>
      <w:r w:rsidRPr="00D21D50">
        <w:rPr>
          <w:lang w:val="it-IT"/>
        </w:rPr>
        <w:t>“ — е</w:t>
      </w:r>
      <w:r w:rsidR="00D21D50" w:rsidRPr="00D21D50">
        <w:rPr>
          <w:lang w:val="it-IT"/>
        </w:rPr>
        <w:t xml:space="preserve"> </w:t>
      </w:r>
      <w:proofErr w:type="spellStart"/>
      <w:r w:rsidR="00295A22" w:rsidRPr="00D21D50">
        <w:rPr>
          <w:lang w:val="it-IT"/>
        </w:rPr>
        <w:t>Chloe</w:t>
      </w:r>
      <w:proofErr w:type="spellEnd"/>
      <w:r w:rsidR="00295A22" w:rsidRPr="00D21D50">
        <w:rPr>
          <w:lang w:val="it-IT"/>
        </w:rPr>
        <w:t xml:space="preserve"> </w:t>
      </w:r>
      <w:proofErr w:type="spellStart"/>
      <w:r w:rsidR="00295A22" w:rsidRPr="00D21D50">
        <w:rPr>
          <w:lang w:val="it-IT"/>
        </w:rPr>
        <w:t>Irrigation</w:t>
      </w:r>
      <w:proofErr w:type="spellEnd"/>
      <w:r w:rsidR="00295A22" w:rsidRPr="00D21D50">
        <w:rPr>
          <w:lang w:val="it-IT"/>
        </w:rPr>
        <w:t xml:space="preserve"> Systems </w:t>
      </w:r>
      <w:proofErr w:type="spellStart"/>
      <w:r w:rsidR="00295A22" w:rsidRPr="00D21D50">
        <w:rPr>
          <w:lang w:val="it-IT"/>
        </w:rPr>
        <w:t>от</w:t>
      </w:r>
      <w:proofErr w:type="spellEnd"/>
      <w:r w:rsidR="00295A22" w:rsidRPr="00D21D50">
        <w:rPr>
          <w:lang w:val="it-IT"/>
        </w:rPr>
        <w:t xml:space="preserve"> </w:t>
      </w:r>
      <w:proofErr w:type="spellStart"/>
      <w:r w:rsidR="00295A22" w:rsidRPr="00D21D50">
        <w:rPr>
          <w:lang w:val="it-IT"/>
        </w:rPr>
        <w:t>Гърция</w:t>
      </w:r>
      <w:proofErr w:type="spellEnd"/>
      <w:r w:rsidR="00295A22" w:rsidRPr="00D21D50">
        <w:rPr>
          <w:lang w:val="it-IT"/>
        </w:rPr>
        <w:t>. Този екип създаде многообещаваща платформа за наблюдение и оптимизиране на напояването с цел намаляване</w:t>
      </w:r>
      <w:r w:rsidR="00295A22">
        <w:t xml:space="preserve"> на икономическите разходи и разхищението на вода, като същевременно се увеличава добивът.</w:t>
      </w:r>
    </w:p>
    <w:p w14:paraId="707D1543" w14:textId="3B369F80" w:rsidR="00D55651" w:rsidRPr="00116238" w:rsidRDefault="003E0568" w:rsidP="00D55651">
      <w:r>
        <w:t>Трите печеливши екипа получиха по 15 000 евро. Класиралите се на второ място във всяка категория спечелиха по 7000 евро, а екипите на трето място — по 3000 евро.</w:t>
      </w:r>
    </w:p>
    <w:p w14:paraId="0957604C" w14:textId="2EFC41AB" w:rsidR="00EC7340" w:rsidRPr="00116238" w:rsidRDefault="00D55651" w:rsidP="00DB005D">
      <w:r>
        <w:t xml:space="preserve">Прочетете повече за победителите и техните приложения: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Партньори на EU Datathon 2019 са: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Европейската комисия (службите по бюджетни, икономически и финансови въпроси, енергетика и статистика и Съвместния изследователски център)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Европейската централна банка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Европейската инвестиционна банка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Европейският инвестиционен фонд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Европейската агенция за околна среда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Организацията на ООН за прехрана и земеделие.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1D50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bg-BG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1D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bg-BG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1D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2995193-6F38-4738-9C19-5C05167E6D2A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B15479EE-5A13-4C21-AC67-6F295535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2019-06-13T16:22:00Z</dcterms:created>
  <dcterms:modified xsi:type="dcterms:W3CDTF">2019-06-13T16:22:00Z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