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Lansarea EU Datathon 2018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Oficiul pentru Publicații al Uniunii Europene organizează a doua ediție a concursului EU Datathon, care evidențiază potențialul stabilirii unei legături între datele UE și cele naționale. </w:t>
      </w:r>
      <w:r>
        <w:rPr>
          <w:rFonts w:ascii="Arial" w:hAnsi="Arial"/>
          <w:sz w:val="21"/>
        </w:rPr>
        <w:t>Evenimentul a debutat în mai 2018, faza finală urmând să aibă loc la Bruxelles, la 2 octombrie 2018.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Participanții sunt invitați să dezvolte aplicații utilizând cel puțin un set de date pus la dispoziție de instituțiile și agențiile UE pe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portalul de date deschise al UE</w:t>
        </w:r>
      </w:hyperlink>
      <w:r>
        <w:rPr>
          <w:rFonts w:ascii="Arial" w:hAnsi="Arial"/>
          <w:color w:val="333333"/>
          <w:sz w:val="21"/>
        </w:rPr>
        <w:t xml:space="preserve">. </w:t>
      </w:r>
      <w:r>
        <w:rPr>
          <w:rFonts w:ascii="Arial" w:hAnsi="Arial"/>
          <w:color w:val="333333"/>
          <w:sz w:val="21"/>
        </w:rPr>
        <w:t>Aplicațiile pot concura în una dintre următoarele grupuri tematice: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Date deschise ale UE - Pentru un nivel sporit de inovare în Europa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Dreptul națională și european - Pentru o legislație interoperabilă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Achiziții publice europene - Valoare pentru cetățeni, valoare pentru întreprinderi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Autoritatea Europeană pentru Siguranța Alimentară - Promovarea reutilizării datelor și a inovării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Prima ediție a acestui eveniment, în 2017, a fost o ocazie pentru serviciile și întreprinderile (inclusiv cele nou-înființate) din UE să interacționeze, să creeze rețele, să facă schimb de idei și să dezvolte noi aplicații utilizând datele deschise ale UE.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La încheierea primului EU Datathon, Rudolf Strohmeier, directorul general al Oficiului pentru Publicații al Uniunii Europene, a explicat că acest eveniment a arătat </w:t>
      </w:r>
      <w:r>
        <w:rPr>
          <w:rStyle w:val="Emphasis"/>
          <w:rFonts w:ascii="Arial" w:hAnsi="Arial"/>
          <w:i w:val="0"/>
          <w:color w:val="333333"/>
          <w:sz w:val="21"/>
        </w:rPr>
        <w:t>cât de interconectați suntem, cât de interconectate sunt toate datele pe care le generăm și cât de important este să recunoaștem și să exploatăm potențialul de reutilizare al acestor date.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Partenerii EU Datathon 2018 sunt: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color w:val="333333"/>
          <w:sz w:val="21"/>
        </w:rPr>
        <w:t xml:space="preserve"> </w:t>
      </w:r>
      <w:hyperlink r:id="rId13">
        <w:r>
          <w:rPr>
            <w:rStyle w:val="Hyperlink"/>
            <w:rFonts w:ascii="Arial" w:hAnsi="Arial"/>
            <w:sz w:val="21"/>
            <w:u w:val="none"/>
          </w:rPr>
          <w:t>Comisia Europeană (Direcția Generală Rețele de Comunicare, Conținut și Tehnologie),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prin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portalul european de date</w:t>
        </w:r>
      </w:hyperlink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5">
        <w:r>
          <w:rPr>
            <w:rStyle w:val="Hyperlink"/>
            <w:rFonts w:ascii="Arial" w:hAnsi="Arial"/>
            <w:sz w:val="21"/>
            <w:u w:val="none"/>
          </w:rPr>
          <w:t>Comisia Europeană (Direcția Generală Informatică),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</w:rPr>
        <w:t>prin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6">
        <w:r>
          <w:rPr>
            <w:rStyle w:val="Hyperlink"/>
            <w:rFonts w:ascii="Arial" w:hAnsi="Arial"/>
            <w:sz w:val="21"/>
            <w:u w:val="none"/>
          </w:rPr>
          <w:t>programul ISA²</w:t>
        </w:r>
      </w:hyperlink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hyperlink r:id="rId17">
        <w:r>
          <w:rPr>
            <w:rStyle w:val="Hyperlink"/>
            <w:rFonts w:ascii="Arial" w:hAnsi="Arial"/>
            <w:sz w:val="21"/>
            <w:u w:val="none"/>
          </w:rPr>
          <w:t>Comisia Europeană (Direcția Generală Piață Internă, Industrie, Antreprenoriat și IMM-uri)</w:t>
        </w:r>
      </w:hyperlink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9">
        <w:r>
          <w:rPr>
            <w:rStyle w:val="Hyperlink"/>
            <w:rFonts w:ascii="Arial" w:hAnsi="Arial"/>
            <w:sz w:val="21"/>
            <w:u w:val="none"/>
          </w:rPr>
          <w:t>Autoritatea Europeană pentru Siguranța Alimentară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20">
        <w:r>
          <w:rPr>
            <w:rStyle w:val="Hyperlink"/>
            <w:rFonts w:ascii="Arial" w:hAnsi="Arial"/>
            <w:sz w:val="21"/>
            <w:u w:val="none"/>
          </w:rPr>
          <w:t>Grupul operativ privind Identificatorul european de legislație (ELI)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Pentru a participa și afla mai multe sau pentru a urmări evenimentul, accesați 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ro-RO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ro" TargetMode="External" /><Relationship Id="rId18" Type="http://schemas.openxmlformats.org/officeDocument/2006/relationships/hyperlink" Target="http://ec.europa.eu/growth/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en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ro/data" TargetMode="External" /><Relationship Id="rId17" Type="http://schemas.openxmlformats.org/officeDocument/2006/relationships/hyperlink" Target="http://ec.europa.eu/growth/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en" TargetMode="External" /><Relationship Id="rId20" Type="http://schemas.openxmlformats.org/officeDocument/2006/relationships/hyperlink" Target="https://eur-lex.europa.eu/eli-register/about.html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ro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ro/homepage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