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 xml:space="preserve">Lançamento da edição de 2018 do concurso </w:t>
      </w:r>
      <w:r>
        <w:rPr>
          <w:rFonts w:ascii="Arial" w:hAnsi="Arial"/>
          <w:color w:val="333333"/>
          <w:sz w:val="21"/>
          <w:shd w:val="clear" w:color="auto" w:fill="FFFFFF"/>
          <w:i w:val="1"/>
        </w:rPr>
        <w:t>EU Datathon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Está a decorrer a segunda edição do concurso </w:t>
      </w:r>
      <w:r>
        <w:rPr>
          <w:rFonts w:ascii="Arial" w:hAnsi="Arial"/>
          <w:sz w:val="21"/>
          <w:i w:val="1"/>
        </w:rPr>
        <w:t>EU Datathon</w:t>
      </w:r>
      <w:r>
        <w:rPr>
          <w:rFonts w:ascii="Arial" w:hAnsi="Arial"/>
          <w:sz w:val="21"/>
        </w:rPr>
        <w:t xml:space="preserve">, organizado pelo Serviço das Publicações da União Europeia com o objetivo de chamar a atenção para o interesse de ligar dados nacionais e dados da UE. </w:t>
      </w:r>
      <w:r>
        <w:rPr>
          <w:rFonts w:ascii="Arial" w:hAnsi="Arial"/>
          <w:sz w:val="21"/>
        </w:rPr>
        <w:t>O evento teve início em maio de 2018 e a fase final terá lugar em Bruxelas, em 2 de outubro de 2018.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Os participantes são convidados a desenvolver aplicações utilizando, pelo menos, um conjunto de dados disponibilizado pelas instituições e agências da UE no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Portal de Dados Abertos da UE</w:t>
        </w:r>
      </w:hyperlink>
      <w:r>
        <w:rPr>
          <w:rFonts w:ascii="Arial" w:hAnsi="Arial"/>
          <w:color w:val="333333"/>
          <w:sz w:val="21"/>
        </w:rPr>
        <w:t xml:space="preserve">. </w:t>
      </w:r>
      <w:r>
        <w:rPr>
          <w:rFonts w:ascii="Arial" w:hAnsi="Arial"/>
          <w:color w:val="333333"/>
          <w:sz w:val="21"/>
        </w:rPr>
        <w:t>São aceites a concurso aplicações numa das seguintes áreas temáticas: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Dados abertos da UE – Para mais inovação na Europa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Direito nacional e europeu – Facilitar a interoperabilidade da legislação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Contratos públicos da UE – Valor para os cidadãos, valor para as empresas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Autoridade Europeia para a Segurança dos Alimentos – Promover a inovação e a reutilização de dados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 xml:space="preserve">A primeira edição do evento, em 2017, proporcionou uma oportunidade para os serviços da UE, as </w:t>
      </w:r>
      <w:r>
        <w:rPr>
          <w:rStyle w:val="Emphasis"/>
          <w:rFonts w:ascii="Arial" w:hAnsi="Arial"/>
          <w:i w:val="1"/>
          <w:sz w:val="21"/>
        </w:rPr>
        <w:t>start-ups</w:t>
      </w:r>
      <w:r>
        <w:rPr>
          <w:rStyle w:val="Emphasis"/>
          <w:rFonts w:ascii="Arial" w:hAnsi="Arial"/>
          <w:i w:val="0"/>
          <w:sz w:val="21"/>
        </w:rPr>
        <w:t xml:space="preserve"> e outras empresas interagirem, criarem redes, trocarem ideias e desenvolveram novas aplicações que utilizam dados abertos da UE.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No encerramento da primeira edição do concurso </w:t>
      </w:r>
      <w:r>
        <w:rPr>
          <w:rStyle w:val="Emphasis"/>
          <w:rFonts w:ascii="Arial" w:hAnsi="Arial"/>
          <w:i w:val="1"/>
          <w:color w:val="333333"/>
          <w:sz w:val="21"/>
        </w:rPr>
        <w:t>EU Datathon</w:t>
      </w:r>
      <w:r>
        <w:rPr>
          <w:rStyle w:val="Emphasis"/>
          <w:rFonts w:ascii="Arial" w:hAnsi="Arial"/>
          <w:i w:val="0"/>
          <w:color w:val="333333"/>
          <w:sz w:val="21"/>
        </w:rPr>
        <w:t xml:space="preserve">, Rudolf Strohmeier, Diretor-Geral do Serviço das Publicações da União Europeia, pronunciou-se sobre o evento: </w:t>
      </w:r>
      <w:r>
        <w:rPr>
          <w:rStyle w:val="Emphasis"/>
          <w:rFonts w:ascii="Arial" w:hAnsi="Arial"/>
          <w:i w:val="0"/>
          <w:color w:val="333333"/>
          <w:sz w:val="21"/>
        </w:rPr>
        <w:t>«[...] mostrou o quão interligados estamos, o quão interligados estão todos os dados que produzimos e o quão importante é reconhecer e explorar o potencial da reutilização dos dados.»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Os parceiros da edição de 2018 do concurso </w:t>
      </w:r>
      <w:r>
        <w:rPr>
          <w:rFonts w:ascii="Arial" w:hAnsi="Arial"/>
          <w:sz w:val="21"/>
          <w:i w:val="1"/>
        </w:rPr>
        <w:t>UE Datathon</w:t>
      </w:r>
      <w:r>
        <w:rPr>
          <w:rFonts w:ascii="Arial" w:hAnsi="Arial"/>
          <w:sz w:val="21"/>
        </w:rPr>
        <w:t xml:space="preserve"> 2018 são: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a</w:t>
      </w:r>
      <w:r>
        <w:rPr>
          <w:rFonts w:ascii="Arial" w:hAnsi="Arial"/>
          <w:color w:val="333333"/>
          <w:sz w:val="21"/>
        </w:rPr>
        <w:t xml:space="preserve"> </w:t>
      </w:r>
      <w:hyperlink r:id="rId13">
        <w:r>
          <w:rPr>
            <w:rStyle w:val="Hyperlink"/>
            <w:rFonts w:ascii="Arial" w:hAnsi="Arial"/>
            <w:sz w:val="21"/>
            <w:u w:val="none"/>
          </w:rPr>
          <w:t>Direção-Geral das Redes de Comunicação, Conteúdos e Tecnologias da Comissão Europeia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 xml:space="preserve">e o 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Portal dos Dados Abertos</w:t>
        </w:r>
      </w:hyperlink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a </w:t>
      </w:r>
      <w:hyperlink r:id="rId15">
        <w:r>
          <w:rPr>
            <w:rStyle w:val="Hyperlink"/>
            <w:rFonts w:ascii="Arial" w:hAnsi="Arial"/>
            <w:sz w:val="21"/>
            <w:u w:val="none"/>
          </w:rPr>
          <w:t xml:space="preserve">Direção-Geral da Informática da Comissão Europeia 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</w:rPr>
        <w:t xml:space="preserve">e o 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6">
        <w:r>
          <w:rPr>
            <w:rStyle w:val="Hyperlink"/>
            <w:rFonts w:ascii="Arial" w:hAnsi="Arial"/>
            <w:sz w:val="21"/>
            <w:u w:val="none"/>
          </w:rPr>
          <w:t>programa ISA²</w:t>
        </w:r>
      </w:hyperlink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r>
        <w:rPr>
          <w:rFonts w:ascii="Arial" w:hAnsi="Arial"/>
          <w:sz w:val="21"/>
        </w:rPr>
        <w:t xml:space="preserve">a </w:t>
      </w:r>
      <w:hyperlink r:id="rId17">
        <w:r>
          <w:rPr>
            <w:rStyle w:val="Hyperlink"/>
            <w:rFonts w:ascii="Arial" w:hAnsi="Arial"/>
            <w:sz w:val="21"/>
            <w:u w:val="none"/>
          </w:rPr>
          <w:t>Direção-Geral do Mercado Interno, da Indústria, do Empreendedorismo e das PME da Comissão Europeia</w:t>
        </w:r>
      </w:hyperlink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  <w:sz w:val="21"/>
        </w:rPr>
        <w:t>a</w:t>
      </w:r>
      <w:r>
        <w:t xml:space="preserve"> </w:t>
      </w:r>
      <w:hyperlink r:id="rId19">
        <w:r>
          <w:rPr>
            <w:rStyle w:val="Hyperlink"/>
            <w:rFonts w:ascii="Arial" w:hAnsi="Arial"/>
            <w:sz w:val="21"/>
            <w:u w:val="none"/>
          </w:rPr>
          <w:t>Autoridade Europeia para a Segurança dos Alimentos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o </w:t>
      </w:r>
      <w:hyperlink r:id="rId20">
        <w:r>
          <w:rPr>
            <w:rStyle w:val="Hyperlink"/>
            <w:rFonts w:ascii="Arial" w:hAnsi="Arial"/>
            <w:sz w:val="21"/>
            <w:u w:val="none"/>
          </w:rPr>
          <w:t>grupo de trabalho sobre o Identificador Europeu da Legislação (ELI)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Para participar, obter mais informações ou acompanhar o evento, consulte 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PT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en" TargetMode="External" /><Relationship Id="rId18" Type="http://schemas.openxmlformats.org/officeDocument/2006/relationships/hyperlink" Target="http://ec.europa.eu/growth/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en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en/data" TargetMode="External" /><Relationship Id="rId17" Type="http://schemas.openxmlformats.org/officeDocument/2006/relationships/hyperlink" Target="http://ec.europa.eu/growth/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en" TargetMode="External" /><Relationship Id="rId20" Type="http://schemas.openxmlformats.org/officeDocument/2006/relationships/hyperlink" Target="https://eur-lex.europa.eu/eli-register/about.html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en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