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088A4" w14:textId="77777777" w:rsidR="00C30ACB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>
        <w:rPr>
          <w:rFonts w:ascii="Arial" w:hAnsi="Arial"/>
          <w:color w:val="FF0000"/>
          <w:sz w:val="21"/>
          <w:shd w:val="clear" w:color="auto" w:fill="FFFFFF"/>
        </w:rPr>
        <w:t>Title:</w:t>
      </w:r>
    </w:p>
    <w:p w14:paraId="3357C501" w14:textId="6BCC64B6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hd w:val="clear" w:color="auto" w:fill="FFFFFF"/>
        </w:rPr>
        <w:t>Sācies “EU Datathon 2018”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92D93C0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748A052A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/>
          <w:color w:val="FF0000"/>
          <w:sz w:val="21"/>
        </w:rPr>
        <w:t>Text:</w:t>
      </w:r>
    </w:p>
    <w:p w14:paraId="6DF502FB" w14:textId="62A01762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Eiropas Savienības Publikāciju birojs organizē nu jau otro “EU Datathon” konkursu, kura mērķis ir parādīt valstu datu un ES līmeņa datu sasaistes potenciālu.  </w:t>
      </w:r>
      <w:r>
        <w:rPr>
          <w:rFonts w:ascii="Arial" w:hAnsi="Arial"/>
          <w:sz w:val="21"/>
        </w:rPr>
        <w:t>Noslēguma fāze šim pasākumam, kurš sākās 2018. gada maijā, norisināsies Briselē 2018. gada 2. oktobrī.</w:t>
      </w:r>
    </w:p>
    <w:p w14:paraId="6B805895" w14:textId="6252E1E8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>Dalībnieki ir aicināti izstrādāt lietotnes, izmantojot vismaz vienu datu kopu no tām, kuras ES iestādes un aģentūras darījušas pieejamas</w:t>
      </w:r>
      <w:r>
        <w:t xml:space="preserve"> </w:t>
      </w:r>
      <w:hyperlink r:id="rId12">
        <w:r>
          <w:rPr>
            <w:rStyle w:val="Hyperlink"/>
            <w:rFonts w:ascii="Arial" w:hAnsi="Arial"/>
            <w:sz w:val="21"/>
            <w:u w:val="none"/>
          </w:rPr>
          <w:t>ES atvērto datu portālā</w:t>
        </w:r>
      </w:hyperlink>
      <w:r>
        <w:rPr>
          <w:rFonts w:ascii="Arial" w:hAnsi="Arial"/>
          <w:color w:val="333333"/>
          <w:sz w:val="21"/>
        </w:rPr>
        <w:t xml:space="preserve">. </w:t>
      </w:r>
      <w:r>
        <w:rPr>
          <w:rFonts w:ascii="Arial" w:hAnsi="Arial"/>
          <w:color w:val="333333"/>
          <w:sz w:val="21"/>
        </w:rPr>
        <w:t>Šīs lietotnes var sacensties vienā no šādām četrām tematiskajām kategorijām:</w:t>
      </w:r>
    </w:p>
    <w:p w14:paraId="35D340A5" w14:textId="6D80B76E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1.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 xml:space="preserve">ES atvērtie dati — Vairāk inovācijas Eiropā </w:t>
      </w:r>
    </w:p>
    <w:p w14:paraId="0463BECE" w14:textId="7E09F762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2.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Valsts tiesību akti un ES tiesību akti — Tiesību aktu sadarbspējas panākšana</w:t>
      </w:r>
    </w:p>
    <w:p w14:paraId="019B958B" w14:textId="2C4ADC99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3.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 xml:space="preserve">ES publiskais iepirkums — Pievienotā vērtība iedzīvotājiem un uzņēmumiem </w:t>
      </w:r>
    </w:p>
    <w:p w14:paraId="48C4AB85" w14:textId="6323B7CF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i/>
          <w:sz w:val="21"/>
          <w:szCs w:val="21"/>
        </w:rPr>
      </w:pPr>
      <w:r>
        <w:rPr>
          <w:rFonts w:ascii="Arial" w:hAnsi="Arial"/>
          <w:sz w:val="21"/>
        </w:rPr>
        <w:t>4.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Eiropas Pārtikas nekaitīguma iestāde — Datu atkārtotas izmantošanas un inovācijas veicināšana</w:t>
      </w:r>
    </w:p>
    <w:p w14:paraId="3BF4E5BC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i/>
          <w:iCs/>
          <w:sz w:val="21"/>
          <w:szCs w:val="21"/>
        </w:rPr>
      </w:pPr>
      <w:r>
        <w:rPr>
          <w:rStyle w:val="Emphasis"/>
          <w:rFonts w:ascii="Arial" w:hAnsi="Arial"/>
          <w:i w:val="0"/>
          <w:sz w:val="21"/>
        </w:rPr>
        <w:t>Pirmais 2017. gada konkurss (jaunizveidotiem) uzņēmumiem un ES dienestiem bija iespēja mijiedarboties, veidot tīklus, apmainīties ar idejām un radīt jaunas lietotnes, kas izmanto ES atvērtos datus.</w:t>
      </w:r>
    </w:p>
    <w:p w14:paraId="29D35047" w14:textId="7E150D84" w:rsidR="003570ED" w:rsidRPr="005525F2" w:rsidRDefault="005525F2" w:rsidP="005525F2">
      <w:pPr>
        <w:pStyle w:val="NormalWeb"/>
        <w:spacing w:before="150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Style w:val="Emphasis"/>
          <w:rFonts w:ascii="Arial" w:hAnsi="Arial"/>
          <w:i w:val="0"/>
          <w:color w:val="333333"/>
          <w:sz w:val="21"/>
        </w:rPr>
        <w:t xml:space="preserve">Noslēdzot pirmo konkursu “EU Datathon”, Eiropas Savienības Publikāciju biroja ģenerāldirektors Rūdolfs Štromeijers (Rudolf Strohmeier) paskaidroja, ka šis pasākums: </w:t>
      </w:r>
      <w:r>
        <w:rPr>
          <w:rStyle w:val="Emphasis"/>
          <w:rFonts w:ascii="Arial" w:hAnsi="Arial"/>
          <w:i w:val="0"/>
          <w:color w:val="333333"/>
          <w:sz w:val="21"/>
        </w:rPr>
        <w:t>“[..] ir parādījis, cik savstarpēji saistīti esam, kā visi dati, kuras radām, ir savstarpēji saistīti, un cik svarīgi ir atzīt un izmantot datu atkārtotas izmantošanas potenciālu.”</w:t>
      </w:r>
    </w:p>
    <w:p w14:paraId="48DF7320" w14:textId="50651064" w:rsidR="004E6DC0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“EU Datathon 2018” partneri ir: </w:t>
      </w:r>
    </w:p>
    <w:p w14:paraId="4F75405B" w14:textId="11C5C799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13">
        <w:r>
          <w:rPr>
            <w:rStyle w:val="Hyperlink"/>
            <w:rFonts w:ascii="Arial" w:hAnsi="Arial"/>
            <w:sz w:val="21"/>
            <w:u w:val="none"/>
          </w:rPr>
          <w:t xml:space="preserve">Eiropas Komisijas Komunikācijas tīklu, satura un tehnoloģiju ģenerāldirektorāts 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ar</w:t>
      </w:r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4">
        <w:r>
          <w:rPr>
            <w:rStyle w:val="Hyperlink"/>
            <w:rFonts w:ascii="Arial" w:hAnsi="Arial"/>
            <w:sz w:val="21"/>
            <w:u w:val="none"/>
          </w:rPr>
          <w:t>Eiropas Atvērto datu portālu</w:t>
        </w:r>
      </w:hyperlink>
    </w:p>
    <w:p w14:paraId="6032B374" w14:textId="19C13EF0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15">
        <w:r>
          <w:rPr>
            <w:rStyle w:val="Hyperlink"/>
            <w:rFonts w:ascii="Arial" w:hAnsi="Arial"/>
            <w:sz w:val="21"/>
            <w:u w:val="none"/>
          </w:rPr>
          <w:t>Eiropas Komisijas Informātikas ģenerāldirektorāts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</w:rPr>
        <w:t>ar</w:t>
      </w:r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6">
        <w:r>
          <w:rPr>
            <w:rStyle w:val="Hyperlink"/>
            <w:rFonts w:ascii="Arial" w:hAnsi="Arial"/>
            <w:sz w:val="21"/>
            <w:u w:val="none"/>
          </w:rPr>
          <w:t xml:space="preserve">programmu </w:t>
        </w:r>
        <w:r>
          <w:rPr>
            <w:rStyle w:val="Hyperlink"/>
            <w:rFonts w:ascii="Arial" w:hAnsi="Arial"/>
            <w:sz w:val="21"/>
            <w:u w:val="none"/>
            <w:i w:val="1"/>
          </w:rPr>
          <w:t>ISA</w:t>
        </w:r>
        <w:r>
          <w:rPr>
            <w:rStyle w:val="Hyperlink"/>
            <w:rFonts w:ascii="Arial" w:hAnsi="Arial"/>
            <w:sz w:val="21"/>
            <w:u w:val="none"/>
          </w:rPr>
          <w:t xml:space="preserve">² </w:t>
        </w:r>
      </w:hyperlink>
    </w:p>
    <w:p w14:paraId="36B13F4A" w14:textId="15E1FF0F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Style w:val="Emphasis"/>
          <w:rFonts w:ascii="Arial" w:hAnsi="Arial" w:cs="Arial"/>
          <w:i w:val="0"/>
          <w:iCs w:val="0"/>
          <w:color w:val="0000FF"/>
          <w:sz w:val="21"/>
          <w:szCs w:val="21"/>
        </w:rPr>
      </w:pPr>
      <w:hyperlink r:id="rId17">
        <w:r>
          <w:rPr>
            <w:rStyle w:val="Hyperlink"/>
            <w:rFonts w:ascii="Arial" w:hAnsi="Arial"/>
            <w:sz w:val="21"/>
            <w:u w:val="none"/>
          </w:rPr>
          <w:t>Eiropas Komisijas Iekšējā tirgus, rūpniecības, uzņēmējdarbības un MVU ģenerāldirektorāts</w:t>
        </w:r>
      </w:hyperlink>
      <w:hyperlink r:id="rId18">
        <w:r>
          <w:rPr>
            <w:rStyle w:val="Hyperlink"/>
            <w:rFonts w:ascii="Arial" w:hAnsi="Arial"/>
            <w:sz w:val="21"/>
            <w:u w:val="none"/>
          </w:rPr>
          <w:t xml:space="preserve"> </w:t>
        </w:r>
      </w:hyperlink>
    </w:p>
    <w:p w14:paraId="4D285D63" w14:textId="3C409D5E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9">
        <w:r>
          <w:rPr>
            <w:rStyle w:val="Hyperlink"/>
            <w:rFonts w:ascii="Arial" w:hAnsi="Arial"/>
            <w:sz w:val="21"/>
            <w:u w:val="none"/>
          </w:rPr>
          <w:t xml:space="preserve">Eiropas Pārtikas nekaitīguma iestāde </w:t>
        </w:r>
      </w:hyperlink>
    </w:p>
    <w:p w14:paraId="3D1E2920" w14:textId="7848E737" w:rsidR="000C2A7A" w:rsidRDefault="004E6DC0" w:rsidP="000C2A7A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color w:val="333333"/>
          <w:sz w:val="21"/>
        </w:rPr>
        <w:t xml:space="preserve"> </w:t>
      </w:r>
      <w:hyperlink r:id="rId20">
        <w:r>
          <w:rPr>
            <w:rStyle w:val="Hyperlink"/>
            <w:rFonts w:ascii="Arial" w:hAnsi="Arial"/>
            <w:sz w:val="21"/>
            <w:u w:val="none"/>
          </w:rPr>
          <w:t>Eiropas tiesību aktu identifikatora (ELI) darba grupa</w:t>
        </w:r>
      </w:hyperlink>
      <w:r>
        <w:rPr>
          <w:rFonts w:ascii="Arial" w:hAnsi="Arial"/>
          <w:color w:val="333333"/>
          <w:sz w:val="21"/>
        </w:rPr>
        <w:t xml:space="preserve">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FDB3147" w14:textId="77777777" w:rsidR="002C1534" w:rsidRPr="002C1534" w:rsidRDefault="002C1534" w:rsidP="002C1534">
      <w:pPr>
        <w:pStyle w:val="NormalWeb"/>
        <w:spacing w:before="150" w:beforeAutospacing="0" w:after="0" w:afterAutospacing="0"/>
        <w:ind w:left="360"/>
        <w:rPr>
          <w:rFonts w:ascii="Arial" w:hAnsi="Arial" w:cs="Arial"/>
          <w:sz w:val="21"/>
          <w:szCs w:val="21"/>
        </w:rPr>
      </w:pPr>
    </w:p>
    <w:p w14:paraId="18DC4604" w14:textId="4F7C6A13" w:rsidR="00A75E4A" w:rsidRPr="004E6DC0" w:rsidRDefault="000C2A7A" w:rsidP="002C1534">
      <w:pPr>
        <w:pStyle w:val="NormalWeb"/>
        <w:spacing w:before="150" w:beforeAutospacing="0" w:after="0" w:afterAutospacing="0" w:line="30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>Lai piedalītos, uzzinātu vairāk vai sekotu līdzi šim pasākumam, apmeklējiet šo adresi:</w:t>
      </w:r>
      <w:r>
        <w:t xml:space="preserve"> </w:t>
      </w:r>
      <w:hyperlink r:id="rId21">
        <w:r>
          <w:rPr>
            <w:rStyle w:val="Hyperlink"/>
            <w:rFonts w:ascii="Arial" w:hAnsi="Arial"/>
            <w:sz w:val="21"/>
            <w:u w:val="none"/>
          </w:rPr>
          <w:t>https://publications.europa.eu/en/web/eudatathon</w:t>
        </w:r>
      </w:hyperlink>
      <w:r>
        <w:rPr>
          <w:rFonts w:ascii="Arial" w:hAnsi="Arial"/>
          <w:color w:val="333333"/>
          <w:sz w:val="21"/>
        </w:rPr>
        <w:t xml:space="preserve"> 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5F054CC" w14:textId="77777777" w:rsidR="00303F46" w:rsidRDefault="00145912">
      <w:pPr/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03F46" w:rsidSect="00C87502">
      <w:footerReference w:type="even" r:id="rId22"/>
      <w:footerReference w:type="default" r:id="rId2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w:type="separator" w:id="-1">
    <w:p w14:paraId="280755E9" w14:textId="77777777" w:rsidR="00605F37" w:rsidRDefault="00605F37" w:rsidP="00C30ACB">
      <w:pPr/>
      <w:r>
        <w:separator/>
      </w:r>
    </w:p>
  </w:endnote>
  <w:endnote w:type="continuationSeparator" w:id="0">
    <w:p w14:paraId="551FD733" w14:textId="77777777" w:rsidR="00605F37" w:rsidRDefault="00605F37" w:rsidP="00C30ACB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8830B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431E152" w14:textId="77777777" w:rsidR="00C30ACB" w:rsidRDefault="00C30ACB" w:rsidP="00C30ACB">
    <w:pPr>
      <w:pStyle w:val="Footer"/>
      <w:ind w:right="360"/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83794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912">
      <w:rPr>
        <w:rStyle w:val="PageNumber"/>
        <w:noProof/>
      </w:rPr>
      <w:t>1</w: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27EE470" w14:textId="77777777" w:rsidR="00C30ACB" w:rsidRDefault="00C30ACB" w:rsidP="00C30ACB">
    <w:pPr>
      <w:pStyle w:val="Footer"/>
      <w:ind w:right="360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w:type="separator" w:id="-1">
    <w:p w14:paraId="188DAF26" w14:textId="77777777" w:rsidR="00605F37" w:rsidRDefault="00605F37" w:rsidP="00C30ACB">
      <w:pPr/>
      <w:r>
        <w:separator/>
      </w:r>
    </w:p>
  </w:footnote>
  <w:footnote w:type="continuationSeparator" w:id="0">
    <w:p w14:paraId="22B0A03B" w14:textId="77777777" w:rsidR="00605F37" w:rsidRDefault="00605F37" w:rsidP="00C30ACB">
      <w:pP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848F5"/>
    <w:multiLevelType w:val="hybridMultilevel"/>
    <w:tmpl w:val="AA8C55F4"/>
    <w:lvl w:ilvl="0" w:tplc="E5022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12114"/>
    <w:multiLevelType w:val="multilevel"/>
    <w:tmpl w:val="373C569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7A"/>
    <w:rsid w:val="000C2A7A"/>
    <w:rsid w:val="00111534"/>
    <w:rsid w:val="00145912"/>
    <w:rsid w:val="001735D8"/>
    <w:rsid w:val="001C5029"/>
    <w:rsid w:val="001D6339"/>
    <w:rsid w:val="0028162D"/>
    <w:rsid w:val="002A7BC8"/>
    <w:rsid w:val="002C1534"/>
    <w:rsid w:val="003062A0"/>
    <w:rsid w:val="003118DF"/>
    <w:rsid w:val="003570ED"/>
    <w:rsid w:val="00363074"/>
    <w:rsid w:val="004E6DC0"/>
    <w:rsid w:val="005525F2"/>
    <w:rsid w:val="00605F37"/>
    <w:rsid w:val="00634351"/>
    <w:rsid w:val="007214B7"/>
    <w:rsid w:val="007F0EA8"/>
    <w:rsid w:val="008D33D7"/>
    <w:rsid w:val="00975F2B"/>
    <w:rsid w:val="00993021"/>
    <w:rsid w:val="00A5326A"/>
    <w:rsid w:val="00A75E4A"/>
    <w:rsid w:val="00B37A80"/>
    <w:rsid w:val="00C30ACB"/>
    <w:rsid w:val="00C63994"/>
    <w:rsid w:val="00C87502"/>
    <w:rsid w:val="00DF5C53"/>
    <w:rsid w:val="00E04CE8"/>
    <w:rsid w:val="00E63B21"/>
    <w:rsid w:val="00F1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F79A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lv-LV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hyperlink" Target="https://ec.europa.eu/info/departments/communications-networks-content-and-technology_en" TargetMode="External" /><Relationship Id="rId18" Type="http://schemas.openxmlformats.org/officeDocument/2006/relationships/hyperlink" Target="http://ec.europa.eu/growth/" TargetMode="External" /><Relationship Id="rId3" Type="http://schemas.openxmlformats.org/officeDocument/2006/relationships/customXml" Target="../customXml/item3.xml" /><Relationship Id="rId21" Type="http://schemas.openxmlformats.org/officeDocument/2006/relationships/hyperlink" Target="https://publications.europa.eu/en/web/eudatathon" TargetMode="External" /><Relationship Id="rId7" Type="http://schemas.microsoft.com/office/2007/relationships/stylesWithEffects" Target="stylesWithEffects.xml" /><Relationship Id="rId12" Type="http://schemas.openxmlformats.org/officeDocument/2006/relationships/hyperlink" Target="https://data.europa.eu/euodp/en/data" TargetMode="External" /><Relationship Id="rId17" Type="http://schemas.openxmlformats.org/officeDocument/2006/relationships/hyperlink" Target="http://ec.europa.eu/growth/" TargetMode="External" /><Relationship Id="rId25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hyperlink" Target="https://ec.europa.eu/isa2/home_en" TargetMode="External" /><Relationship Id="rId20" Type="http://schemas.openxmlformats.org/officeDocument/2006/relationships/hyperlink" Target="https://eur-lex.europa.eu/eli-register/about.html" TargetMode="Externa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endnotes" Target="endnotes.xml" /><Relationship Id="rId24" Type="http://schemas.openxmlformats.org/officeDocument/2006/relationships/fontTable" Target="fontTable.xml" /><Relationship Id="rId5" Type="http://schemas.openxmlformats.org/officeDocument/2006/relationships/numbering" Target="numbering.xml" /><Relationship Id="rId15" Type="http://schemas.openxmlformats.org/officeDocument/2006/relationships/hyperlink" Target="https://ec.europa.eu/info/departments/informatics_en" TargetMode="External" /><Relationship Id="rId23" Type="http://schemas.openxmlformats.org/officeDocument/2006/relationships/footer" Target="footer2.xml" /><Relationship Id="rId10" Type="http://schemas.openxmlformats.org/officeDocument/2006/relationships/footnotes" Target="footnotes.xml" /><Relationship Id="rId19" Type="http://schemas.openxmlformats.org/officeDocument/2006/relationships/hyperlink" Target="http://www.efsa.europa.eu/" TargetMode="Externa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hyperlink" Target="https://www.europeandataportal.eu/" TargetMode="External" /><Relationship Id="rId22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Personal Letter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Personal Letter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24" ma:contentTypeDescription="Create in this document library a blank document" ma:contentTypeScope="" ma:versionID="72ff2a930cdf940bce5dcffe212399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02196963a5c51f1a6b9c1156be30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Contrôle interne et évaluation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Finances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32E09A-AE27-4920-938F-A45F2FE4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16223-5830-4622-AF72-EB375AFF6F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539FC00-357C-49E5-9A24-13B032442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20904-A7F9-4EB8-A69A-B5E650524422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STEUER Simon (OP)</dc:creator>
  <cp:lastModifiedBy>CASELLA Paola (OP)</cp:lastModifiedBy>
  <cp:revision>2</cp:revision>
  <dcterms:created xsi:type="dcterms:W3CDTF">2018-06-06T13:32:00Z</dcterms:created>
  <dcterms:modified xsi:type="dcterms:W3CDTF">2018-06-06T13:32:00Z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</Properties>
</file>