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Megkezdődött a 2018. évi EU Datathon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Az Európai Unió Kiadóhivatala 2018-ban újból megrendezi az EU Datathon versenyt. Az idei, második rendezvény az uniós és a tagállami adatok összekapcsolásának lehetőségét helyezi reflektorfénybe. </w:t>
      </w:r>
      <w:r>
        <w:rPr>
          <w:rFonts w:ascii="Arial" w:hAnsi="Arial"/>
          <w:sz w:val="21"/>
        </w:rPr>
        <w:t>Az eseménysorozat 2018 májusában kezdődött, és a záró konferenciára 2018. október 2-án, Brüsszelben kerül sor.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A versenyre olyan mobilalkalmazással lehet benevezni, amely felhasznál legalább egyet az uniós intézmények és ügynökségek által a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nyílt hozzáférésű adatok európai uniós portálján</w:t>
        </w:r>
      </w:hyperlink>
      <w:r>
        <w:rPr>
          <w:rFonts w:ascii="Arial" w:hAnsi="Arial"/>
          <w:color w:val="333333"/>
          <w:sz w:val="21"/>
        </w:rPr>
        <w:t xml:space="preserve"> közzétett adatkészletek közül. </w:t>
      </w:r>
      <w:r>
        <w:rPr>
          <w:rFonts w:ascii="Arial" w:hAnsi="Arial"/>
          <w:color w:val="333333"/>
          <w:sz w:val="21"/>
        </w:rPr>
        <w:t>A következő kategóriákban lehet indulni: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Nyílt hozzáférésű európai uniós adatok – Az innováció előmozdítása Európában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Tagállami és uniós jog – A jogszabályok kölcsönös átjárhatóságának biztosítása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Uniós közbeszerzés – Érték a polgároknak, érték a vállalkozásoknak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Európai Élelmiszerbiztonsági Hatóság – Az adat-újrafelhasználás és az adatinnováció elősegítése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A 2017. évi első verseny lehetőséget nyújtott az EU-beli közigazgatási szervek, startupok és egyéb vállalkozások számára, hogy kapcsolatokat építsenek, információkat cseréljenek egymással, és új appokat hozzanak létre nyílt hozzáférésű európai uniós adatok felhasználásával.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Rudolf Strohmeier, az Európai Unió Kiadóhivatalának főigazgatója az első EU Datathon verseny zárásakor így értékelte az eseményt: </w:t>
      </w:r>
      <w:r>
        <w:rPr>
          <w:rStyle w:val="Emphasis"/>
          <w:rFonts w:ascii="Arial" w:hAnsi="Arial"/>
          <w:i w:val="0"/>
          <w:color w:val="333333"/>
          <w:sz w:val="21"/>
        </w:rPr>
        <w:t>„...megmutatta, mennyire összekapcsoltak vagyunk, mennyire összekapcsoltak az általunk létrehozott adatok, és hogy mennyire fontos felismerni és kiaknázni az adatok újrafelhasználásában rejlő lehetőségeket.”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A 2018. évi EU Datathon partnerei: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az</w:t>
      </w:r>
      <w:r>
        <w:rPr>
          <w:rFonts w:ascii="Arial" w:hAnsi="Arial"/>
          <w:color w:val="333333"/>
          <w:sz w:val="21"/>
        </w:rPr>
        <w:t xml:space="preserve"> </w:t>
      </w:r>
      <w:hyperlink r:id="rId13">
        <w:r>
          <w:rPr>
            <w:rStyle w:val="Hyperlink"/>
            <w:rFonts w:ascii="Arial" w:hAnsi="Arial"/>
            <w:sz w:val="21"/>
            <w:u w:val="none"/>
          </w:rPr>
          <w:t>Európai Bizottság Tartalmak, Technológiák és Kommunikációs Hálózatok Főigazgatósága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(az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európai adatportál</w:t>
        </w:r>
      </w:hyperlink>
      <w:r>
        <w:t>)</w:t>
      </w:r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az </w:t>
      </w:r>
      <w:hyperlink r:id="rId15">
        <w:r>
          <w:rPr>
            <w:rStyle w:val="Hyperlink"/>
            <w:rFonts w:ascii="Arial" w:hAnsi="Arial"/>
            <w:sz w:val="21"/>
            <w:u w:val="none"/>
          </w:rPr>
          <w:t>Európai Bizottság Informatikai Főigazgatósága</w:t>
        </w:r>
      </w:hyperlink>
      <w:r>
        <w:rPr>
          <w:rStyle w:val="Emphasis"/>
          <w:rFonts w:ascii="Arial" w:hAnsi="Arial"/>
          <w:i w:val="0"/>
        </w:rPr>
        <w:t xml:space="preserve"> (az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>ISA² program</w:t>
        </w:r>
      </w:hyperlink>
      <w:r>
        <w:t>)</w:t>
      </w:r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r>
        <w:rPr>
          <w:rFonts w:ascii="Arial" w:hAnsi="Arial"/>
          <w:sz w:val="21"/>
        </w:rPr>
        <w:t xml:space="preserve">az </w:t>
      </w:r>
      <w:hyperlink r:id="rId17">
        <w:r>
          <w:rPr>
            <w:rStyle w:val="Hyperlink"/>
            <w:rFonts w:ascii="Arial" w:hAnsi="Arial"/>
            <w:sz w:val="21"/>
            <w:u w:val="none"/>
          </w:rPr>
          <w:t>Európai Bizottság Belső Piaci, Ipar-, Vállalkozás- és Kkv-politikai Főigazgatósága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  <w:sz w:val="21"/>
        </w:rPr>
        <w:t>az</w:t>
      </w:r>
      <w:r>
        <w:rPr>
          <w:rFonts w:ascii="Arial" w:hAnsi="Arial"/>
          <w:color w:val="333333"/>
          <w:sz w:val="21"/>
        </w:rPr>
        <w:t xml:space="preserve"> </w:t>
      </w:r>
      <w:hyperlink r:id="rId19">
        <w:r>
          <w:rPr>
            <w:rStyle w:val="Hyperlink"/>
            <w:rFonts w:ascii="Arial" w:hAnsi="Arial"/>
            <w:sz w:val="21"/>
            <w:u w:val="none"/>
          </w:rPr>
          <w:t>Európai Élelmiszerbiztonsági Hatóság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az</w:t>
      </w:r>
      <w:r>
        <w:rPr>
          <w:rFonts w:ascii="Arial" w:hAnsi="Arial"/>
          <w:color w:val="333333"/>
          <w:sz w:val="21"/>
        </w:rPr>
        <w:t xml:space="preserve"> </w:t>
      </w:r>
      <w:hyperlink r:id="rId20">
        <w:r>
          <w:rPr>
            <w:rStyle w:val="Hyperlink"/>
            <w:rFonts w:ascii="Arial" w:hAnsi="Arial"/>
            <w:sz w:val="21"/>
            <w:u w:val="none"/>
          </w:rPr>
          <w:t>európai jogszabály-azonosítóval foglalkozó munkacsoport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Ha szeretne többet megtudni az eseményről, illetve azt figyelemmel kísérni, vagy részt venni benne, látogasson el a verseny honlapjára: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t>.</w:t>
      </w:r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hu" TargetMode="External" /><Relationship Id="rId18" Type="http://schemas.openxmlformats.org/officeDocument/2006/relationships/hyperlink" Target="http://ec.europa.eu/growth/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hu/data/" TargetMode="External" /><Relationship Id="rId17" Type="http://schemas.openxmlformats.org/officeDocument/2006/relationships/hyperlink" Target="http://ec.europa.eu/growth/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hu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hu/homepage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