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Naslov: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Početak Datathona EU-a za 2018.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Tekst: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Ured za publikacije Europske unije organizira drugo izdanje natjecanja Datathon EU-a, kojime se ističe potencijal povezivanja podataka EU-a i nacionalnih podataka. </w:t>
      </w:r>
      <w:r>
        <w:rPr>
          <w:rFonts w:ascii="Arial" w:hAnsi="Arial"/>
          <w:sz w:val="21"/>
        </w:rPr>
        <w:t>Događanje je započelo u svibnju 2018., a završna faza natjecanja održat će se u Bruxellesu 2. listopada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Od sudionika se traži da razviju aplikacije koristeći se najmanje jednim skupom podataka koji su institucije i agencije EU-a objavile na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Portalu otvorenih podataka EU-a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Autori aplikacija mogu se natjecati u jednom od sljedećih četiriju tematskih izazova: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Otvoreni podaci EU-a – Potaknimo inovacije u Europi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Nacionalno pravo i pravo EU-a – Učinimo zakonodavstvo interoperabilnim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Javna nabava u EU-u – Osigurajmo dobrobit za građane i poduzeća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Europska agencija za sigurnost hrane – Potaknimo ponovnu uporabu podataka i inovacije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U okviru prvog izdanja natjecanja u 2017. službe EU-a, etablirana i novoosnovana poduzeća dobili su priliku za suradnju, umrežavanje, razmjenu ideja i razvijanje novih aplikacija s pomoću otvorenih podataka EU-a.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Rudolf Strohmeier, glavni direktor Ureda za publikacije Europske unije, objasnio je što je postignuto tim događanjem u govoru kojim je zaključio prvi Datathon EU-a: </w:t>
      </w:r>
      <w:r>
        <w:rPr>
          <w:rStyle w:val="Emphasis"/>
          <w:rFonts w:ascii="Arial" w:hAnsi="Arial"/>
          <w:i w:val="0"/>
          <w:color w:val="333333"/>
          <w:sz w:val="21"/>
        </w:rPr>
        <w:t>„[...] pokazalo se koliko smo međusobno povezani, koliko su naši podaci povezani te koliko je važno prepoznati i iskoristiti potencijal ponovne uporabe tih podataka.”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Partneri Datathona EU-a za 2018. su: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>
          <w:rPr>
            <w:rStyle w:val="Hyperlink"/>
            <w:rFonts w:ascii="Arial" w:hAnsi="Arial"/>
            <w:sz w:val="21"/>
            <w:u w:val="none"/>
          </w:rPr>
          <w:t>Glavna uprava Europske komisije za komunikacijske mreže, sadržaje i tehnologije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 xml:space="preserve">u suradnji s 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Europskim portalom podataka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Glavna uprava Europske komisije za informatiku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u suradnji s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programom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Europska komisija, Glavna uprava za unutarnje tržište, industriju, poduzetništvo te male i srednje poduzetnike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>
          <w:rPr>
            <w:rStyle w:val="Hyperlink"/>
            <w:rFonts w:ascii="Arial" w:hAnsi="Arial"/>
            <w:sz w:val="21"/>
            <w:u w:val="none"/>
          </w:rPr>
          <w:t>Europska agencija za sigurnost hrane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>
          <w:rPr>
            <w:rStyle w:val="Hyperlink"/>
            <w:rFonts w:ascii="Arial" w:hAnsi="Arial"/>
            <w:sz w:val="21"/>
            <w:u w:val="none"/>
          </w:rPr>
          <w:t>Radna skupina za Europski identifikator zakonodavstva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Ako želite sudjelovati, saznati više informacija ili pratiti događanje, posjetite stranicu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https://publications.europa.eu/hr/web/eudatathon</w:t>
        </w:r>
      </w:hyperlink>
      <w:r>
        <w:t>.</w:t>
      </w:r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hr" TargetMode="External" /><Relationship Id="rId18" Type="http://schemas.openxmlformats.org/officeDocument/2006/relationships/hyperlink" Target="http://ec.europa.eu/growth/index_hr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hr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hr/data" TargetMode="External" /><Relationship Id="rId17" Type="http://schemas.openxmlformats.org/officeDocument/2006/relationships/hyperlink" Target="http://ec.europa.eu/growth/index_hr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hr" TargetMode="External" /><Relationship Id="rId20" Type="http://schemas.openxmlformats.org/officeDocument/2006/relationships/hyperlink" Target="https://eur-lex.europa.eu/eli-register/about.html?locale=hr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hr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hr/homepage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