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Puesta en marcha del certamen EU Datathon 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La Oficina de Publicaciones de la Unión Europea organiza la segunda edición del certamen EU Datathon que pone de relieve el potencial del establecimiento de vínculos entre los datos nacionales y los de la UE. </w:t>
      </w:r>
      <w:r>
        <w:rPr>
          <w:rFonts w:ascii="Arial" w:hAnsi="Arial"/>
          <w:sz w:val="21"/>
        </w:rPr>
        <w:t>El certamen se inició en mayo de 2018 y su fase final tendrá lugar en Bruselas el 2 de octubre de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Los participantes están llamados a desarrollar aplicaciones que utilicen al menos un conjunto de datos facilitados por las instituciones y agencias de la UE en el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Portal de datos abiertos de la UE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Las aplicaciones pueden competir en uno de los retos temáticos siguientes: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Datos abiertos de la UE — Por una mayor innovación en Europa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Legislación nacional y de la UE — Hacer que la legislación sea interoperable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Contratación pública de la UE — Valor para los ciudadanos y para las empresas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Autoridad Europea de Seguridad Alimentaria — Fomentar la innovación y la reutilización de datos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La primera edición del certamen en 2017 dio la posibilidad a los servicios de la UE y a empresas ya establecidas o de nueva creación de interactuar, crear redes, intercambiar ideas y desarrollar nuevas aplicaciones utilizando los datos abiertos de la UE.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En la clausura del primer EU Datathon, Rudolf Strohmeier, director general de la Oficina de Publicaciones de la Unión Europea, explicó lo que había logrado el certamen: </w:t>
      </w:r>
      <w:r>
        <w:rPr>
          <w:rStyle w:val="Emphasis"/>
          <w:rFonts w:ascii="Arial" w:hAnsi="Arial"/>
          <w:i w:val="0"/>
          <w:color w:val="333333"/>
          <w:sz w:val="21"/>
        </w:rPr>
        <w:t>"[...] ha puesto de manifiesto lo interconectados que estamos, lo interconectados que están todos los datos que generamos y la importancia de reconocer y aprovechar el potencial de la reutilización de estos datos."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Los socios de EU Datathon 2018 son: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La</w:t>
      </w: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Dirección General de Redes de Comunicación, Contenido y Tecnologías de la Comisión Europea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con el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Portal de datos abiertos de la UE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La </w:t>
      </w:r>
      <w:hyperlink r:id="rId15">
        <w:r>
          <w:rPr>
            <w:rStyle w:val="Hyperlink"/>
            <w:rFonts w:ascii="Arial" w:hAnsi="Arial"/>
            <w:sz w:val="21"/>
            <w:u w:val="none"/>
          </w:rPr>
          <w:t>Dirección General de Informática de la Comisión Europea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>con el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programa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r>
        <w:rPr>
          <w:rFonts w:ascii="Arial" w:hAnsi="Arial"/>
          <w:sz w:val="21"/>
        </w:rPr>
        <w:t xml:space="preserve">La </w:t>
      </w:r>
      <w:hyperlink r:id="rId17">
        <w:r>
          <w:rPr>
            <w:rStyle w:val="Hyperlink"/>
            <w:rFonts w:ascii="Arial" w:hAnsi="Arial"/>
            <w:sz w:val="21"/>
            <w:u w:val="none"/>
          </w:rPr>
          <w:t>Dirección General de Mercado Interior, Industria, Emprendimiento y Pymes de la Comisión Europea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</w:rPr>
        <w:t>La</w:t>
      </w:r>
      <w:r>
        <w:rPr>
          <w:rFonts w:ascii="Arial" w:hAnsi="Arial"/>
          <w:color w:val="333333"/>
          <w:sz w:val="21"/>
        </w:rPr>
        <w:t xml:space="preserve"> 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Autoridad Europea de Seguridad Alimentaria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El</w:t>
      </w:r>
      <w:r>
        <w:rPr>
          <w:rFonts w:ascii="Arial" w:hAnsi="Arial"/>
          <w:color w:val="333333"/>
          <w:sz w:val="21"/>
        </w:rPr>
        <w:t xml:space="preserve">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Grupo de trabajo del Identificador Europeo de Legislación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Para participar, obtener más información o seguir el certamen, consulte la siguiente dirección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