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Lancering af EU's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EU's Publikationskontor afholder nu for anden gang EU's Datathon-konkurrence, der sætter fokus på, hvordan man potentielt kan knytte EU-data og nationale data sammen. </w:t>
      </w:r>
      <w:r>
        <w:rPr>
          <w:rFonts w:ascii="Arial" w:hAnsi="Arial"/>
          <w:sz w:val="21"/>
        </w:rPr>
        <w:t>Arrangementet blev skudt i gang i maj 2018, og den sidste fase løber af stablen den 2. oktober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Deltagerne skal udvikle apper ved at bruge mindst ét af de datasæt, som EU's institutioner og agenturer giver adgang til på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EU's portal for åbne data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Apperne skal falde ind under et af følgende fire temaer: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Skab mere innovation i Europa med EU's åbne data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Gør de nationale love og EU-lovene interoperable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Skab værdi for borgere og virksomheder med EU's offentlige indkøb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Styrk innovation og genbrug af data med Den Europæiske Fødevaresikkerhedsautoritet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Den første udgave af konkurrencen i 2017 gav både nystartede og etablerede virksomheder og EU's tjenester mulighed for at interagere, netværke, udveksle ideer og skabe nye apper ved hjælp af EU's åbne data.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Ved afslutningen af den første Datathon forklarede Publikationskontorets generaldirektør, Rudolf Strohmeier, hvad der var blevet opnået med arrangementet: </w:t>
      </w:r>
      <w:r>
        <w:rPr>
          <w:rStyle w:val="Emphasis"/>
          <w:rFonts w:ascii="Arial" w:hAnsi="Arial"/>
          <w:i w:val="0"/>
          <w:color w:val="333333"/>
          <w:sz w:val="21"/>
        </w:rPr>
        <w:t>" ...det har vist, hvor sammenkoblede vi er, hvor sammenkoblede alle de data, vi genererer, er, og hvor vigtigt det er at anerkende og udnytte det potentiale, der ligger i genbrug af data."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Partnerne i EU's Datathon 2018 er: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Europa-Kommissionens Generaldirektorat for Kommunikationsnet, Indhold og Teknologi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med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Den europæiske dataportal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Europa-Kommissionens Generaldirektorat for Informationsteknologi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med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 xml:space="preserve">ISA²-programmet 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Europa-Kommissionens Generaldirektorat for det Indre Marked, Erhvervspolitik, Iværksætteri og SMV'er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Den Europæiske Fødevaresikkerhedsautoritet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Taskforcen for den europæiske lovgivningsidentifikator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Hvis du vil deltage, have mere at vide eller følge konkurrencen, kan du besøge os på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da" TargetMode="External" /><Relationship Id="rId18" Type="http://schemas.openxmlformats.org/officeDocument/2006/relationships/hyperlink" Target="http://ec.europa.eu/growth/index_da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index_da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?locale=da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da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da/homepage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