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Zahájení Evropského datathonu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Úřad pro publikace Evropské unie pořádá druhý ročník soutěže </w:t>
      </w:r>
      <w:r>
        <w:rPr>
          <w:rFonts w:ascii="Arial" w:hAnsi="Arial"/>
          <w:sz w:val="21"/>
          <w:i w:val="1"/>
        </w:rPr>
        <w:t>EU Datathon</w:t>
      </w:r>
      <w:r>
        <w:rPr>
          <w:rFonts w:ascii="Arial" w:hAnsi="Arial"/>
          <w:sz w:val="21"/>
        </w:rPr>
        <w:t xml:space="preserve">, která upozorňuje na potenciál, jež skýtá propojení dat generovaných na evropské úrovni a v členských státech. </w:t>
      </w:r>
      <w:r>
        <w:rPr>
          <w:rFonts w:ascii="Arial" w:hAnsi="Arial"/>
          <w:sz w:val="21"/>
        </w:rPr>
        <w:t>Zahájení akce letos proběhlo v květnu a závěrečná část se uskuteční 2. října 2018 v Bruselu.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t xml:space="preserve">Zadání pro účastníky soutěže zní: Vytvořte aplikaci za použití alespoň jedné datové série zveřejněné institucí nebo agenturou EU na 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portálu veřejně přístupných dat EU</w:t>
        </w:r>
      </w:hyperlink>
      <w:r>
        <w:t>.</w:t>
      </w:r>
      <w:r>
        <w:rPr>
          <w:rFonts w:ascii="Arial" w:hAnsi="Arial"/>
          <w:color w:val="333333"/>
          <w:sz w:val="21"/>
        </w:rPr>
        <w:t xml:space="preserve"> </w:t>
      </w:r>
      <w:r>
        <w:rPr>
          <w:rFonts w:ascii="Arial" w:hAnsi="Arial"/>
          <w:color w:val="333333"/>
          <w:sz w:val="21"/>
        </w:rPr>
        <w:t>Aplikace budou soutěžit v některé z následujících čtyř disciplín: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Veřejně přístupná data EU – Zdroj inovací v Evropě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Vnitrostátní a evropské právní předpisy – Jak zajistit interoperabilitu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Zadávání veřejných zakázek v EU – Jak lépe hájit zájmy občanů i podniků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Evropský úřad pro bezpečnost potravin – Podpora inovací a opětovné využívání údajů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První ročník této akce, který proběhl  v roce 2017, ukázal, že soutěž představuje skvělou příležitost pro evropské odvětví služeb a začínající i zavedené podniky – mohou zde navazovat kontakty, vyměňovat si nápady a umožňovat vznik nových aplikací využívajících veřejně přístupná data EU.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Rudolf Strohmeier, generální ředitel Úřadu pro publikace Evropské unie, k úspěchu prvního Evropského datathonu uvedl: </w:t>
      </w:r>
      <w:r>
        <w:rPr>
          <w:rStyle w:val="Emphasis"/>
          <w:rFonts w:ascii="Arial" w:hAnsi="Arial"/>
          <w:i w:val="0"/>
          <w:color w:val="333333"/>
          <w:sz w:val="21"/>
        </w:rPr>
        <w:t>„Soutěž ukázala, jak provázaný dnešní svět je, jak vzájemně propojené jsou údaje, které produkujeme, a jak je důležité chopit se příležitosti a vytěžit z potenciálu dalšího využívání údajů maximum.“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Partnery Evropského datathonu 2018 jsou: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 xml:space="preserve">Generální ředitelství pro komunikační sítě, obsah a technologie (Evropská komise) 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 jeho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 xml:space="preserve">Evropský portál veřejně přístupných dat 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 </w:t>
      </w:r>
      <w:hyperlink r:id="rId15">
        <w:r>
          <w:rPr>
            <w:rStyle w:val="Hyperlink"/>
            <w:rFonts w:ascii="Arial" w:hAnsi="Arial"/>
            <w:sz w:val="21"/>
            <w:u w:val="none"/>
          </w:rPr>
          <w:t xml:space="preserve">Generální ředitelství pro informatiku (Evropská komise) a jeho 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 xml:space="preserve">a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Generální ředitelství pro vnitřní trh, průmysl, podnikání a malé a střední podniky (Evropská komise)</w:t>
        </w:r>
      </w:hyperlink>
      <w:r>
        <w:t xml:space="preserve"> </w:t>
      </w:r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Evropský úřad pro bezpečnost potravin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Pracovní skupina pro identifikátor evropské legislativy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Chcete-li se soutěže zúčastnit nebo sledovat související aktuality, více najdete na adrese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